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80" w:rsidRPr="00844541" w:rsidRDefault="00EE1080" w:rsidP="00844541">
      <w:pPr>
        <w:jc w:val="center"/>
        <w:rPr>
          <w:noProof/>
          <w:snapToGrid w:val="0"/>
          <w:szCs w:val="24"/>
        </w:rPr>
      </w:pPr>
      <w:bookmarkStart w:id="0" w:name="_GoBack"/>
      <w:bookmarkEnd w:id="0"/>
    </w:p>
    <w:p w:rsidR="00EE1080" w:rsidRPr="00844541" w:rsidRDefault="00EE1080" w:rsidP="00844541">
      <w:pPr>
        <w:jc w:val="center"/>
        <w:rPr>
          <w:noProof/>
          <w:snapToGrid w:val="0"/>
          <w:szCs w:val="24"/>
        </w:rPr>
      </w:pPr>
    </w:p>
    <w:p w:rsidR="00EC6427" w:rsidRPr="00844541" w:rsidRDefault="00EC6427" w:rsidP="00844541">
      <w:pPr>
        <w:jc w:val="center"/>
      </w:pPr>
    </w:p>
    <w:p w:rsidR="00EC6427" w:rsidRPr="00844541" w:rsidRDefault="00835688" w:rsidP="00844541">
      <w:pPr>
        <w:jc w:val="center"/>
        <w:rPr>
          <w:lang w:val="fr-FR"/>
        </w:rPr>
      </w:pPr>
      <w:r w:rsidRPr="00844541">
        <w:rPr>
          <w:lang w:val="fr-FR"/>
        </w:rPr>
        <w:t>TROISIÈM</w:t>
      </w:r>
      <w:r w:rsidR="00BB3166" w:rsidRPr="00844541">
        <w:rPr>
          <w:lang w:val="fr-FR"/>
        </w:rPr>
        <w:t>E SECTION</w:t>
      </w:r>
    </w:p>
    <w:p w:rsidR="00EE1080" w:rsidRPr="00844541" w:rsidRDefault="00EE1080" w:rsidP="00844541">
      <w:pPr>
        <w:jc w:val="center"/>
        <w:rPr>
          <w:lang w:val="fr-FR"/>
        </w:rPr>
      </w:pPr>
    </w:p>
    <w:p w:rsidR="00EE1080" w:rsidRPr="00844541" w:rsidRDefault="00EE1080" w:rsidP="00844541">
      <w:pPr>
        <w:jc w:val="center"/>
        <w:rPr>
          <w:lang w:val="fr-FR"/>
        </w:rPr>
      </w:pPr>
    </w:p>
    <w:p w:rsidR="00EE1080" w:rsidRPr="00844541" w:rsidRDefault="00EE1080" w:rsidP="00844541">
      <w:pPr>
        <w:jc w:val="center"/>
        <w:rPr>
          <w:lang w:val="fr-FR"/>
        </w:rPr>
      </w:pPr>
    </w:p>
    <w:p w:rsidR="00EE1080" w:rsidRPr="00844541" w:rsidRDefault="00EE1080" w:rsidP="00844541">
      <w:pPr>
        <w:jc w:val="center"/>
        <w:rPr>
          <w:lang w:val="fr-FR"/>
        </w:rPr>
      </w:pPr>
    </w:p>
    <w:p w:rsidR="00EE1080" w:rsidRPr="00844541" w:rsidRDefault="00EE1080" w:rsidP="00844541">
      <w:pPr>
        <w:jc w:val="center"/>
        <w:rPr>
          <w:lang w:val="fr-FR"/>
        </w:rPr>
      </w:pPr>
    </w:p>
    <w:p w:rsidR="00EE1080" w:rsidRPr="00844541" w:rsidRDefault="00EE1080" w:rsidP="00844541">
      <w:pPr>
        <w:jc w:val="center"/>
        <w:rPr>
          <w:lang w:val="fr-FR"/>
        </w:rPr>
      </w:pPr>
    </w:p>
    <w:p w:rsidR="00EC6427" w:rsidRPr="00844541" w:rsidRDefault="00EC6427" w:rsidP="00844541">
      <w:pPr>
        <w:jc w:val="center"/>
        <w:rPr>
          <w:b/>
          <w:lang w:val="fr-FR"/>
        </w:rPr>
      </w:pPr>
      <w:bookmarkStart w:id="1" w:name="To"/>
      <w:r w:rsidRPr="00844541">
        <w:rPr>
          <w:b/>
          <w:lang w:val="fr-FR"/>
        </w:rPr>
        <w:t xml:space="preserve">AFFAIRE </w:t>
      </w:r>
      <w:bookmarkEnd w:id="1"/>
      <w:r w:rsidR="00835688" w:rsidRPr="00844541">
        <w:rPr>
          <w:b/>
          <w:lang w:val="fr-FR"/>
        </w:rPr>
        <w:t>PAROISSE GRECO-CATHOLIQUE LUPENI ET AUTRES c. ROUMANIE</w:t>
      </w:r>
    </w:p>
    <w:p w:rsidR="00EC6427" w:rsidRPr="00844541" w:rsidRDefault="00EC6427" w:rsidP="00844541">
      <w:pPr>
        <w:jc w:val="center"/>
        <w:rPr>
          <w:lang w:val="fr-FR"/>
        </w:rPr>
      </w:pPr>
    </w:p>
    <w:p w:rsidR="00EE1080" w:rsidRPr="00844541" w:rsidRDefault="00EC6427" w:rsidP="00844541">
      <w:pPr>
        <w:jc w:val="center"/>
        <w:rPr>
          <w:i/>
          <w:lang w:val="fr-FR"/>
        </w:rPr>
      </w:pPr>
      <w:r w:rsidRPr="00844541">
        <w:rPr>
          <w:i/>
          <w:lang w:val="fr-FR"/>
        </w:rPr>
        <w:t>(</w:t>
      </w:r>
      <w:r w:rsidR="00835688" w:rsidRPr="00844541">
        <w:rPr>
          <w:i/>
          <w:noProof/>
          <w:lang w:val="fr-FR"/>
        </w:rPr>
        <w:t>Requête n</w:t>
      </w:r>
      <w:r w:rsidR="00835688" w:rsidRPr="00844541">
        <w:rPr>
          <w:i/>
          <w:noProof/>
          <w:vertAlign w:val="superscript"/>
          <w:lang w:val="fr-FR"/>
        </w:rPr>
        <w:t>o</w:t>
      </w:r>
      <w:r w:rsidR="00835688" w:rsidRPr="00844541">
        <w:rPr>
          <w:i/>
          <w:noProof/>
          <w:lang w:val="fr-FR"/>
        </w:rPr>
        <w:t xml:space="preserve"> 76943/11</w:t>
      </w:r>
      <w:r w:rsidRPr="00844541">
        <w:rPr>
          <w:i/>
          <w:lang w:val="fr-FR"/>
        </w:rPr>
        <w:t>)</w:t>
      </w:r>
    </w:p>
    <w:p w:rsidR="00EE1080" w:rsidRPr="00844541" w:rsidRDefault="00EE1080" w:rsidP="00844541">
      <w:pPr>
        <w:jc w:val="center"/>
        <w:rPr>
          <w:lang w:val="fr-FR"/>
        </w:rPr>
      </w:pPr>
    </w:p>
    <w:p w:rsidR="00EE1080" w:rsidRPr="00844541" w:rsidRDefault="00EE1080" w:rsidP="00844541">
      <w:pPr>
        <w:jc w:val="center"/>
        <w:rPr>
          <w:lang w:val="fr-FR"/>
        </w:rPr>
      </w:pPr>
    </w:p>
    <w:p w:rsidR="00EE1080" w:rsidRPr="00844541" w:rsidRDefault="00EE1080" w:rsidP="00844541">
      <w:pPr>
        <w:jc w:val="center"/>
        <w:rPr>
          <w:lang w:val="fr-FR"/>
        </w:rPr>
      </w:pPr>
    </w:p>
    <w:p w:rsidR="00EE1080" w:rsidRPr="00844541" w:rsidRDefault="00EE1080" w:rsidP="00844541">
      <w:pPr>
        <w:jc w:val="center"/>
        <w:rPr>
          <w:lang w:val="fr-FR"/>
        </w:rPr>
      </w:pPr>
    </w:p>
    <w:p w:rsidR="00EE1080" w:rsidRPr="00844541" w:rsidRDefault="00EE1080" w:rsidP="00844541">
      <w:pPr>
        <w:jc w:val="center"/>
        <w:rPr>
          <w:lang w:val="fr-FR"/>
        </w:rPr>
      </w:pPr>
    </w:p>
    <w:p w:rsidR="00EE1080" w:rsidRPr="00844541" w:rsidRDefault="00EE1080" w:rsidP="00844541">
      <w:pPr>
        <w:jc w:val="center"/>
        <w:rPr>
          <w:lang w:val="fr-FR"/>
        </w:rPr>
      </w:pPr>
    </w:p>
    <w:p w:rsidR="00EE1080" w:rsidRPr="00844541" w:rsidRDefault="00EE1080" w:rsidP="00844541">
      <w:pPr>
        <w:jc w:val="center"/>
        <w:rPr>
          <w:lang w:val="fr-FR"/>
        </w:rPr>
      </w:pPr>
    </w:p>
    <w:p w:rsidR="00EE1080" w:rsidRPr="00844541" w:rsidRDefault="00EE1080" w:rsidP="00844541">
      <w:pPr>
        <w:jc w:val="center"/>
        <w:rPr>
          <w:lang w:val="fr-FR"/>
        </w:rPr>
      </w:pPr>
    </w:p>
    <w:p w:rsidR="00EE1080" w:rsidRPr="00844541" w:rsidRDefault="00EE1080" w:rsidP="00844541">
      <w:pPr>
        <w:jc w:val="center"/>
        <w:rPr>
          <w:lang w:val="fr-FR"/>
        </w:rPr>
      </w:pPr>
      <w:r w:rsidRPr="00844541">
        <w:rPr>
          <w:lang w:val="fr-FR"/>
        </w:rPr>
        <w:t>ARRÊT</w:t>
      </w:r>
    </w:p>
    <w:p w:rsidR="00EE1080" w:rsidRPr="00844541" w:rsidRDefault="00EE1080" w:rsidP="00844541">
      <w:pPr>
        <w:pStyle w:val="ECHRPara"/>
        <w:ind w:firstLine="0"/>
        <w:jc w:val="center"/>
        <w:rPr>
          <w:lang w:val="fr-FR"/>
        </w:rPr>
      </w:pPr>
    </w:p>
    <w:p w:rsidR="00EE1080" w:rsidRPr="00844541" w:rsidRDefault="00EE1080" w:rsidP="00844541">
      <w:pPr>
        <w:pStyle w:val="ECHRPara"/>
        <w:ind w:firstLine="0"/>
        <w:jc w:val="center"/>
        <w:rPr>
          <w:i/>
          <w:lang w:val="fr-FR"/>
        </w:rPr>
      </w:pPr>
    </w:p>
    <w:p w:rsidR="00EE1080" w:rsidRPr="00844541" w:rsidRDefault="00EE1080" w:rsidP="00844541">
      <w:pPr>
        <w:pStyle w:val="ECHRPara"/>
        <w:ind w:firstLine="0"/>
        <w:jc w:val="center"/>
        <w:rPr>
          <w:lang w:val="fr-FR"/>
        </w:rPr>
      </w:pPr>
      <w:r w:rsidRPr="00844541">
        <w:rPr>
          <w:lang w:val="fr-FR"/>
        </w:rPr>
        <w:t>STRASBOURG</w:t>
      </w:r>
    </w:p>
    <w:p w:rsidR="00EE1080" w:rsidRPr="00844541" w:rsidRDefault="00EE1080" w:rsidP="00844541">
      <w:pPr>
        <w:pStyle w:val="ECHRPara"/>
        <w:ind w:firstLine="0"/>
        <w:jc w:val="center"/>
        <w:rPr>
          <w:lang w:val="fr-FR"/>
        </w:rPr>
      </w:pPr>
    </w:p>
    <w:p w:rsidR="00EE1080" w:rsidRPr="00844541" w:rsidRDefault="00EE1080" w:rsidP="00844541">
      <w:pPr>
        <w:pStyle w:val="ECHRPara"/>
        <w:ind w:firstLine="0"/>
        <w:jc w:val="center"/>
        <w:rPr>
          <w:lang w:val="fr-FR"/>
        </w:rPr>
      </w:pPr>
      <w:r w:rsidRPr="00844541">
        <w:rPr>
          <w:lang w:val="fr-FR"/>
        </w:rPr>
        <w:t>19 mai 2015</w:t>
      </w:r>
    </w:p>
    <w:p w:rsidR="00EE1080" w:rsidRPr="00844541" w:rsidRDefault="00EE1080" w:rsidP="00844541">
      <w:pPr>
        <w:pStyle w:val="ECHRPara"/>
        <w:ind w:firstLine="0"/>
        <w:jc w:val="center"/>
        <w:rPr>
          <w:lang w:val="fr-FR"/>
        </w:rPr>
      </w:pPr>
    </w:p>
    <w:p w:rsidR="00EE1080" w:rsidRPr="00844541" w:rsidRDefault="00EE1080" w:rsidP="00844541">
      <w:pPr>
        <w:pStyle w:val="ECHRPara"/>
        <w:ind w:firstLine="0"/>
        <w:jc w:val="center"/>
        <w:rPr>
          <w:lang w:val="fr-FR"/>
        </w:rPr>
      </w:pPr>
    </w:p>
    <w:p w:rsidR="00D369D6" w:rsidRPr="00844541" w:rsidRDefault="00D369D6" w:rsidP="00844541">
      <w:pPr>
        <w:pStyle w:val="ECHRPara"/>
        <w:ind w:firstLine="0"/>
        <w:jc w:val="center"/>
        <w:rPr>
          <w:lang w:val="fr-FR"/>
        </w:rPr>
      </w:pPr>
    </w:p>
    <w:p w:rsidR="00D369D6" w:rsidRPr="00844541" w:rsidRDefault="00D369D6" w:rsidP="00844541">
      <w:pPr>
        <w:pStyle w:val="ECHRPara"/>
        <w:ind w:firstLine="0"/>
        <w:jc w:val="center"/>
        <w:rPr>
          <w:lang w:val="fr-FR"/>
        </w:rPr>
      </w:pPr>
    </w:p>
    <w:p w:rsidR="00D369D6" w:rsidRPr="00844541" w:rsidRDefault="00D369D6" w:rsidP="00844541">
      <w:pPr>
        <w:pStyle w:val="ECHRPara"/>
        <w:ind w:firstLine="0"/>
        <w:jc w:val="center"/>
        <w:rPr>
          <w:lang w:val="fr-FR"/>
        </w:rPr>
      </w:pPr>
    </w:p>
    <w:p w:rsidR="005564D7" w:rsidRPr="00844541" w:rsidRDefault="005564D7" w:rsidP="00844541">
      <w:pPr>
        <w:pStyle w:val="ECHRPara"/>
        <w:ind w:firstLine="0"/>
        <w:jc w:val="center"/>
        <w:rPr>
          <w:lang w:val="fr-FR"/>
        </w:rPr>
      </w:pPr>
    </w:p>
    <w:p w:rsidR="005564D7" w:rsidRPr="00844541" w:rsidRDefault="005564D7" w:rsidP="00844541">
      <w:pPr>
        <w:pStyle w:val="ECHRPara"/>
        <w:ind w:firstLine="0"/>
        <w:jc w:val="center"/>
        <w:rPr>
          <w:lang w:val="fr-FR"/>
        </w:rPr>
      </w:pPr>
    </w:p>
    <w:p w:rsidR="00D369D6" w:rsidRPr="00844541" w:rsidRDefault="00D369D6" w:rsidP="00844541">
      <w:pPr>
        <w:pStyle w:val="ECHRPara"/>
        <w:ind w:firstLine="0"/>
        <w:rPr>
          <w:lang w:val="fr-FR"/>
        </w:rPr>
      </w:pPr>
    </w:p>
    <w:p w:rsidR="00793A62" w:rsidRPr="00844541" w:rsidRDefault="00EE1080" w:rsidP="00844541">
      <w:pPr>
        <w:pStyle w:val="ECHRPara"/>
        <w:ind w:firstLine="0"/>
        <w:rPr>
          <w:lang w:val="fr-FR"/>
        </w:rPr>
      </w:pPr>
      <w:r w:rsidRPr="00844541">
        <w:rPr>
          <w:i/>
          <w:sz w:val="22"/>
          <w:lang w:val="fr-FR"/>
        </w:rPr>
        <w:t>Cet arrêt deviendra définitif dans les conditions définies à l</w:t>
      </w:r>
      <w:r w:rsidR="00844541">
        <w:rPr>
          <w:i/>
          <w:sz w:val="22"/>
          <w:lang w:val="fr-FR"/>
        </w:rPr>
        <w:t>’</w:t>
      </w:r>
      <w:r w:rsidRPr="00844541">
        <w:rPr>
          <w:i/>
          <w:sz w:val="22"/>
          <w:lang w:val="fr-FR"/>
        </w:rPr>
        <w:t>article 44 § 2 de la Convention. Il peut subir des retouches de forme.</w:t>
      </w:r>
    </w:p>
    <w:p w:rsidR="00EE1080" w:rsidRPr="00844541" w:rsidRDefault="00EE1080" w:rsidP="00844541">
      <w:pPr>
        <w:pStyle w:val="JuCase"/>
        <w:rPr>
          <w:lang w:val="fr-FR"/>
        </w:rPr>
        <w:sectPr w:rsidR="00EE1080" w:rsidRPr="00844541" w:rsidSect="00EE1080">
          <w:headerReference w:type="default" r:id="rId12"/>
          <w:headerReference w:type="first" r:id="rId13"/>
          <w:footerReference w:type="first" r:id="rId14"/>
          <w:pgSz w:w="11906" w:h="16838" w:code="9"/>
          <w:pgMar w:top="2274" w:right="2274" w:bottom="2274" w:left="2274" w:header="1701" w:footer="720" w:gutter="0"/>
          <w:pgNumType w:start="1"/>
          <w:cols w:space="720"/>
          <w:titlePg/>
          <w:docGrid w:linePitch="326"/>
        </w:sectPr>
      </w:pPr>
    </w:p>
    <w:p w:rsidR="00EC6427" w:rsidRPr="00844541" w:rsidRDefault="00EC6427" w:rsidP="00844541">
      <w:pPr>
        <w:pStyle w:val="JuCase"/>
        <w:rPr>
          <w:lang w:val="fr-FR"/>
        </w:rPr>
      </w:pPr>
      <w:r w:rsidRPr="00844541">
        <w:rPr>
          <w:lang w:val="fr-FR"/>
        </w:rPr>
        <w:lastRenderedPageBreak/>
        <w:t>En l</w:t>
      </w:r>
      <w:r w:rsidR="00844541">
        <w:rPr>
          <w:lang w:val="fr-FR"/>
        </w:rPr>
        <w:t>’</w:t>
      </w:r>
      <w:r w:rsidRPr="00844541">
        <w:rPr>
          <w:lang w:val="fr-FR"/>
        </w:rPr>
        <w:t xml:space="preserve">affaire </w:t>
      </w:r>
      <w:r w:rsidR="00835688" w:rsidRPr="00844541">
        <w:rPr>
          <w:lang w:val="fr-FR"/>
        </w:rPr>
        <w:t xml:space="preserve">Paroisse </w:t>
      </w:r>
      <w:r w:rsidR="007C07B1" w:rsidRPr="00844541">
        <w:rPr>
          <w:lang w:val="fr-FR"/>
        </w:rPr>
        <w:t>g</w:t>
      </w:r>
      <w:r w:rsidR="00835688" w:rsidRPr="00844541">
        <w:rPr>
          <w:lang w:val="fr-FR"/>
        </w:rPr>
        <w:t>r</w:t>
      </w:r>
      <w:r w:rsidR="007C07B1" w:rsidRPr="00844541">
        <w:rPr>
          <w:lang w:val="fr-FR"/>
        </w:rPr>
        <w:t>é</w:t>
      </w:r>
      <w:r w:rsidR="00835688" w:rsidRPr="00844541">
        <w:rPr>
          <w:lang w:val="fr-FR"/>
        </w:rPr>
        <w:t>co-</w:t>
      </w:r>
      <w:r w:rsidR="007C07B1" w:rsidRPr="00844541">
        <w:rPr>
          <w:lang w:val="fr-FR"/>
        </w:rPr>
        <w:t>c</w:t>
      </w:r>
      <w:r w:rsidR="00835688" w:rsidRPr="00844541">
        <w:rPr>
          <w:lang w:val="fr-FR"/>
        </w:rPr>
        <w:t>atholique Lupeni et autres c.</w:t>
      </w:r>
      <w:r w:rsidR="008F6434" w:rsidRPr="00844541">
        <w:rPr>
          <w:lang w:val="fr-FR"/>
        </w:rPr>
        <w:t> </w:t>
      </w:r>
      <w:r w:rsidR="00835688" w:rsidRPr="00844541">
        <w:rPr>
          <w:lang w:val="fr-FR"/>
        </w:rPr>
        <w:t>Roumanie</w:t>
      </w:r>
      <w:r w:rsidRPr="00844541">
        <w:rPr>
          <w:lang w:val="fr-FR"/>
        </w:rPr>
        <w:t>,</w:t>
      </w:r>
    </w:p>
    <w:p w:rsidR="00362D1F" w:rsidRPr="00844541" w:rsidRDefault="00EC6427" w:rsidP="00844541">
      <w:pPr>
        <w:pStyle w:val="ECHRPara"/>
        <w:rPr>
          <w:lang w:val="fr-FR"/>
        </w:rPr>
      </w:pPr>
      <w:r w:rsidRPr="00844541">
        <w:rPr>
          <w:lang w:val="fr-FR"/>
        </w:rPr>
        <w:t xml:space="preserve">La Cour européenne des </w:t>
      </w:r>
      <w:r w:rsidR="00445E54" w:rsidRPr="00844541">
        <w:rPr>
          <w:lang w:val="fr-FR"/>
        </w:rPr>
        <w:t>d</w:t>
      </w:r>
      <w:r w:rsidRPr="00844541">
        <w:rPr>
          <w:lang w:val="fr-FR"/>
        </w:rPr>
        <w:t>roits de l</w:t>
      </w:r>
      <w:r w:rsidR="00844541">
        <w:rPr>
          <w:lang w:val="fr-FR"/>
        </w:rPr>
        <w:t>’</w:t>
      </w:r>
      <w:r w:rsidR="00445E54" w:rsidRPr="00844541">
        <w:rPr>
          <w:lang w:val="fr-FR"/>
        </w:rPr>
        <w:t>h</w:t>
      </w:r>
      <w:r w:rsidRPr="00844541">
        <w:rPr>
          <w:lang w:val="fr-FR"/>
        </w:rPr>
        <w:t>omme</w:t>
      </w:r>
      <w:r w:rsidR="00DE593D" w:rsidRPr="00844541">
        <w:rPr>
          <w:lang w:val="fr-FR"/>
        </w:rPr>
        <w:t xml:space="preserve"> (</w:t>
      </w:r>
      <w:r w:rsidR="00835688" w:rsidRPr="00844541">
        <w:rPr>
          <w:lang w:val="fr-FR"/>
        </w:rPr>
        <w:t>troisième section</w:t>
      </w:r>
      <w:r w:rsidR="00DE593D" w:rsidRPr="00844541">
        <w:rPr>
          <w:lang w:val="fr-FR"/>
        </w:rPr>
        <w:t>)</w:t>
      </w:r>
      <w:r w:rsidRPr="00844541">
        <w:rPr>
          <w:lang w:val="fr-FR"/>
        </w:rPr>
        <w:t xml:space="preserve">, siégeant en </w:t>
      </w:r>
      <w:r w:rsidR="00835688" w:rsidRPr="00844541">
        <w:rPr>
          <w:noProof/>
          <w:lang w:val="fr-FR"/>
        </w:rPr>
        <w:t>une chambre composée</w:t>
      </w:r>
      <w:r w:rsidR="004702BA" w:rsidRPr="00844541">
        <w:rPr>
          <w:lang w:val="fr-FR"/>
        </w:rPr>
        <w:t xml:space="preserve"> </w:t>
      </w:r>
      <w:r w:rsidR="00362D1F" w:rsidRPr="00844541">
        <w:rPr>
          <w:lang w:val="fr-FR"/>
        </w:rPr>
        <w:t>de :</w:t>
      </w:r>
    </w:p>
    <w:p w:rsidR="0009234F" w:rsidRPr="00844541" w:rsidRDefault="00D44FF0" w:rsidP="00844541">
      <w:pPr>
        <w:pStyle w:val="ECHRDecisionBody"/>
      </w:pPr>
      <w:r w:rsidRPr="00844541">
        <w:tab/>
        <w:t>Josep Casadevall,</w:t>
      </w:r>
      <w:r w:rsidRPr="00844541">
        <w:rPr>
          <w:i/>
        </w:rPr>
        <w:t xml:space="preserve"> président,</w:t>
      </w:r>
      <w:r w:rsidRPr="00844541">
        <w:rPr>
          <w:i/>
        </w:rPr>
        <w:br/>
      </w:r>
      <w:r w:rsidRPr="00844541">
        <w:tab/>
        <w:t>Luis López Guerra,</w:t>
      </w:r>
      <w:r w:rsidRPr="00844541">
        <w:rPr>
          <w:i/>
        </w:rPr>
        <w:br/>
      </w:r>
      <w:r w:rsidRPr="00844541">
        <w:tab/>
        <w:t>Ján Šikuta</w:t>
      </w:r>
      <w:r w:rsidRPr="00844541">
        <w:rPr>
          <w:i/>
        </w:rPr>
        <w:t>,</w:t>
      </w:r>
      <w:r w:rsidRPr="00844541">
        <w:rPr>
          <w:i/>
        </w:rPr>
        <w:br/>
      </w:r>
      <w:r w:rsidRPr="00844541">
        <w:tab/>
        <w:t>Kristina Pardalos,</w:t>
      </w:r>
      <w:r w:rsidRPr="00844541">
        <w:rPr>
          <w:i/>
        </w:rPr>
        <w:br/>
      </w:r>
      <w:r w:rsidRPr="00844541">
        <w:tab/>
        <w:t>Johannes Silvis,</w:t>
      </w:r>
      <w:r w:rsidRPr="00844541">
        <w:rPr>
          <w:i/>
        </w:rPr>
        <w:br/>
      </w:r>
      <w:r w:rsidRPr="00844541">
        <w:tab/>
        <w:t>Valeriu Griţco,</w:t>
      </w:r>
      <w:r w:rsidRPr="00844541">
        <w:rPr>
          <w:i/>
        </w:rPr>
        <w:br/>
      </w:r>
      <w:r w:rsidRPr="00844541">
        <w:tab/>
        <w:t>Branko Lubarda,</w:t>
      </w:r>
      <w:r w:rsidRPr="00844541">
        <w:rPr>
          <w:i/>
        </w:rPr>
        <w:t xml:space="preserve"> juges,</w:t>
      </w:r>
      <w:r w:rsidR="0009234F" w:rsidRPr="00844541">
        <w:br/>
        <w:t xml:space="preserve">et de </w:t>
      </w:r>
      <w:r w:rsidR="002915C4" w:rsidRPr="00844541">
        <w:rPr>
          <w:noProof/>
        </w:rPr>
        <w:t>Stephen Phillips</w:t>
      </w:r>
      <w:r w:rsidR="004E3393" w:rsidRPr="00844541">
        <w:t xml:space="preserve">, </w:t>
      </w:r>
      <w:r w:rsidR="00835688" w:rsidRPr="00844541">
        <w:rPr>
          <w:i/>
          <w:noProof/>
        </w:rPr>
        <w:t>greffier</w:t>
      </w:r>
      <w:r w:rsidR="00835688" w:rsidRPr="00844541">
        <w:rPr>
          <w:iCs/>
          <w:noProof/>
        </w:rPr>
        <w:t xml:space="preserve"> </w:t>
      </w:r>
      <w:r w:rsidR="00835688" w:rsidRPr="00844541">
        <w:rPr>
          <w:i/>
          <w:iCs/>
          <w:noProof/>
        </w:rPr>
        <w:t>d</w:t>
      </w:r>
      <w:r w:rsidR="00835688" w:rsidRPr="00844541">
        <w:rPr>
          <w:i/>
          <w:noProof/>
        </w:rPr>
        <w:t>e section</w:t>
      </w:r>
      <w:r w:rsidR="0009234F" w:rsidRPr="00844541">
        <w:rPr>
          <w:i/>
        </w:rPr>
        <w:t>,</w:t>
      </w:r>
    </w:p>
    <w:p w:rsidR="00EC6427" w:rsidRPr="00844541" w:rsidRDefault="00EC6427" w:rsidP="00844541">
      <w:pPr>
        <w:pStyle w:val="ECHRPara"/>
        <w:rPr>
          <w:lang w:val="fr-FR"/>
        </w:rPr>
      </w:pPr>
      <w:r w:rsidRPr="00844541">
        <w:rPr>
          <w:lang w:val="fr-FR"/>
        </w:rPr>
        <w:t>Après en avoir délibéré en chambre du conseil le</w:t>
      </w:r>
      <w:r w:rsidR="00D44FF0" w:rsidRPr="00844541">
        <w:rPr>
          <w:lang w:val="fr-FR"/>
        </w:rPr>
        <w:t xml:space="preserve"> 21 avril </w:t>
      </w:r>
      <w:r w:rsidR="00503AB9" w:rsidRPr="00844541">
        <w:rPr>
          <w:lang w:val="fr-FR"/>
        </w:rPr>
        <w:t>201</w:t>
      </w:r>
      <w:r w:rsidR="008F6434" w:rsidRPr="00844541">
        <w:rPr>
          <w:lang w:val="fr-FR"/>
        </w:rPr>
        <w:t>4</w:t>
      </w:r>
      <w:r w:rsidRPr="00844541">
        <w:rPr>
          <w:lang w:val="fr-FR"/>
        </w:rPr>
        <w:t>,</w:t>
      </w:r>
    </w:p>
    <w:p w:rsidR="00EC6427" w:rsidRPr="00844541" w:rsidRDefault="00EC6427" w:rsidP="00844541">
      <w:pPr>
        <w:pStyle w:val="ECHRPara"/>
        <w:rPr>
          <w:lang w:val="fr-FR"/>
        </w:rPr>
      </w:pPr>
      <w:r w:rsidRPr="00844541">
        <w:rPr>
          <w:lang w:val="fr-FR"/>
        </w:rPr>
        <w:t>Rend l</w:t>
      </w:r>
      <w:r w:rsidR="00844541">
        <w:rPr>
          <w:lang w:val="fr-FR"/>
        </w:rPr>
        <w:t>’</w:t>
      </w:r>
      <w:r w:rsidRPr="00844541">
        <w:rPr>
          <w:lang w:val="fr-FR"/>
        </w:rPr>
        <w:t>arrêt que voici, adopté à cette date :</w:t>
      </w:r>
    </w:p>
    <w:p w:rsidR="00EC6427" w:rsidRPr="00844541" w:rsidRDefault="00EC6427" w:rsidP="00844541">
      <w:pPr>
        <w:pStyle w:val="ECHRTitle1"/>
      </w:pPr>
      <w:r w:rsidRPr="00844541">
        <w:t>PROCÉDURE</w:t>
      </w:r>
    </w:p>
    <w:p w:rsidR="00EC6427" w:rsidRPr="00844541" w:rsidRDefault="00AA632A"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w:t>
      </w:r>
      <w:r w:rsidRPr="00844541">
        <w:rPr>
          <w:noProof/>
        </w:rPr>
        <w:fldChar w:fldCharType="end"/>
      </w:r>
      <w:r w:rsidR="00EC6427" w:rsidRPr="00844541">
        <w:rPr>
          <w:lang w:val="fr-FR"/>
        </w:rPr>
        <w:t>.  </w:t>
      </w:r>
      <w:r w:rsidR="009B394E" w:rsidRPr="00844541">
        <w:rPr>
          <w:lang w:val="fr-FR"/>
        </w:rPr>
        <w:t>À</w:t>
      </w:r>
      <w:r w:rsidR="00EC6427" w:rsidRPr="00844541">
        <w:rPr>
          <w:lang w:val="fr-FR"/>
        </w:rPr>
        <w:t xml:space="preserve"> l</w:t>
      </w:r>
      <w:r w:rsidR="00844541">
        <w:rPr>
          <w:lang w:val="fr-FR"/>
        </w:rPr>
        <w:t>’</w:t>
      </w:r>
      <w:r w:rsidR="00EC6427" w:rsidRPr="00844541">
        <w:rPr>
          <w:lang w:val="fr-FR"/>
        </w:rPr>
        <w:t>origine de l</w:t>
      </w:r>
      <w:r w:rsidR="00844541">
        <w:rPr>
          <w:lang w:val="fr-FR"/>
        </w:rPr>
        <w:t>’</w:t>
      </w:r>
      <w:r w:rsidR="00EC6427" w:rsidRPr="00844541">
        <w:rPr>
          <w:lang w:val="fr-FR"/>
        </w:rPr>
        <w:t xml:space="preserve">affaire </w:t>
      </w:r>
      <w:r w:rsidR="00835688" w:rsidRPr="00844541">
        <w:rPr>
          <w:noProof/>
          <w:lang w:val="fr-FR"/>
        </w:rPr>
        <w:t>se trouve une requête (n</w:t>
      </w:r>
      <w:r w:rsidR="00835688" w:rsidRPr="00844541">
        <w:rPr>
          <w:noProof/>
          <w:vertAlign w:val="superscript"/>
          <w:lang w:val="fr-FR"/>
        </w:rPr>
        <w:t>o</w:t>
      </w:r>
      <w:r w:rsidR="00835688" w:rsidRPr="00844541">
        <w:rPr>
          <w:noProof/>
          <w:lang w:val="fr-FR"/>
        </w:rPr>
        <w:t xml:space="preserve"> 76943/11) dirigée</w:t>
      </w:r>
      <w:r w:rsidR="00EC6427" w:rsidRPr="00844541">
        <w:rPr>
          <w:lang w:val="fr-FR"/>
        </w:rPr>
        <w:t xml:space="preserve"> contre </w:t>
      </w:r>
      <w:r w:rsidR="00835688" w:rsidRPr="00844541">
        <w:rPr>
          <w:lang w:val="fr-FR"/>
        </w:rPr>
        <w:t>la Roumanie</w:t>
      </w:r>
      <w:r w:rsidR="00EC6427" w:rsidRPr="00844541">
        <w:rPr>
          <w:lang w:val="fr-FR"/>
        </w:rPr>
        <w:t xml:space="preserve"> et dont </w:t>
      </w:r>
      <w:r w:rsidR="003F6053" w:rsidRPr="00844541">
        <w:rPr>
          <w:lang w:val="fr-FR"/>
        </w:rPr>
        <w:t>une paroisse</w:t>
      </w:r>
      <w:r w:rsidR="00BC5CB2" w:rsidRPr="00844541">
        <w:rPr>
          <w:lang w:val="fr-FR"/>
        </w:rPr>
        <w:t xml:space="preserve">, </w:t>
      </w:r>
      <w:r w:rsidR="00BC5CB2" w:rsidRPr="00844541">
        <w:rPr>
          <w:noProof/>
          <w:lang w:val="fr-FR"/>
        </w:rPr>
        <w:t xml:space="preserve">un </w:t>
      </w:r>
      <w:r w:rsidR="005F6E3E" w:rsidRPr="00844541">
        <w:rPr>
          <w:noProof/>
          <w:lang w:val="fr-FR"/>
        </w:rPr>
        <w:t>é</w:t>
      </w:r>
      <w:r w:rsidR="00BC5CB2" w:rsidRPr="00844541">
        <w:rPr>
          <w:noProof/>
          <w:lang w:val="fr-FR"/>
        </w:rPr>
        <w:t>vêc</w:t>
      </w:r>
      <w:r w:rsidR="00D548F9" w:rsidRPr="00844541">
        <w:rPr>
          <w:noProof/>
          <w:lang w:val="fr-FR"/>
        </w:rPr>
        <w:t>h</w:t>
      </w:r>
      <w:r w:rsidR="00BC5CB2" w:rsidRPr="00844541">
        <w:rPr>
          <w:noProof/>
          <w:lang w:val="fr-FR"/>
        </w:rPr>
        <w:t xml:space="preserve">é et un </w:t>
      </w:r>
      <w:r w:rsidR="00B44237" w:rsidRPr="00844541">
        <w:rPr>
          <w:noProof/>
          <w:lang w:val="fr-FR"/>
        </w:rPr>
        <w:t>archiprêtré</w:t>
      </w:r>
      <w:r w:rsidR="00B44237" w:rsidRPr="00844541">
        <w:rPr>
          <w:lang w:val="fr-FR"/>
        </w:rPr>
        <w:t xml:space="preserve"> </w:t>
      </w:r>
      <w:r w:rsidR="003F6053" w:rsidRPr="00844541">
        <w:rPr>
          <w:lang w:val="fr-FR"/>
        </w:rPr>
        <w:t>sis dans cet</w:t>
      </w:r>
      <w:r w:rsidR="00673D73" w:rsidRPr="00844541">
        <w:rPr>
          <w:lang w:val="fr-FR"/>
        </w:rPr>
        <w:t xml:space="preserve"> </w:t>
      </w:r>
      <w:r w:rsidR="00FA1F4A" w:rsidRPr="00844541">
        <w:rPr>
          <w:lang w:val="fr-FR"/>
        </w:rPr>
        <w:t>État</w:t>
      </w:r>
      <w:r w:rsidR="003F6053" w:rsidRPr="00844541">
        <w:rPr>
          <w:noProof/>
          <w:lang w:val="fr-FR"/>
        </w:rPr>
        <w:t xml:space="preserve">, </w:t>
      </w:r>
      <w:r w:rsidR="00BC5CB2" w:rsidRPr="00844541">
        <w:rPr>
          <w:noProof/>
          <w:lang w:val="fr-FR"/>
        </w:rPr>
        <w:t xml:space="preserve">à savoir </w:t>
      </w:r>
      <w:r w:rsidR="009B424B" w:rsidRPr="00844541">
        <w:rPr>
          <w:noProof/>
          <w:lang w:val="fr-FR"/>
        </w:rPr>
        <w:t>la P</w:t>
      </w:r>
      <w:r w:rsidR="003F6053" w:rsidRPr="00844541">
        <w:rPr>
          <w:noProof/>
          <w:lang w:val="fr-FR"/>
        </w:rPr>
        <w:t>arois</w:t>
      </w:r>
      <w:r w:rsidR="00CA6BA5" w:rsidRPr="00844541">
        <w:rPr>
          <w:noProof/>
          <w:lang w:val="fr-FR"/>
        </w:rPr>
        <w:t>s</w:t>
      </w:r>
      <w:r w:rsidR="003F6053" w:rsidRPr="00844541">
        <w:rPr>
          <w:noProof/>
          <w:lang w:val="fr-FR"/>
        </w:rPr>
        <w:t>e gr</w:t>
      </w:r>
      <w:r w:rsidR="00827BA9" w:rsidRPr="00844541">
        <w:rPr>
          <w:noProof/>
          <w:lang w:val="fr-FR"/>
        </w:rPr>
        <w:t>é</w:t>
      </w:r>
      <w:r w:rsidR="003F6053" w:rsidRPr="00844541">
        <w:rPr>
          <w:noProof/>
          <w:lang w:val="fr-FR"/>
        </w:rPr>
        <w:t xml:space="preserve">co-catholique </w:t>
      </w:r>
      <w:r w:rsidR="00BC5CB2" w:rsidRPr="00844541">
        <w:rPr>
          <w:noProof/>
          <w:lang w:val="fr-FR"/>
        </w:rPr>
        <w:t xml:space="preserve">de </w:t>
      </w:r>
      <w:r w:rsidR="003F6053" w:rsidRPr="00844541">
        <w:rPr>
          <w:noProof/>
          <w:lang w:val="fr-FR"/>
        </w:rPr>
        <w:t>Lupeni</w:t>
      </w:r>
      <w:r w:rsidR="003E716D" w:rsidRPr="00844541">
        <w:rPr>
          <w:noProof/>
          <w:lang w:val="fr-FR"/>
        </w:rPr>
        <w:t xml:space="preserve">, </w:t>
      </w:r>
      <w:r w:rsidR="009B424B" w:rsidRPr="00844541">
        <w:rPr>
          <w:lang w:val="fr-FR"/>
        </w:rPr>
        <w:t>l</w:t>
      </w:r>
      <w:r w:rsidR="00844541">
        <w:rPr>
          <w:lang w:val="fr-FR"/>
        </w:rPr>
        <w:t>’</w:t>
      </w:r>
      <w:r w:rsidR="002A4F03" w:rsidRPr="00844541">
        <w:rPr>
          <w:lang w:val="fr-FR"/>
        </w:rPr>
        <w:t>Évêché</w:t>
      </w:r>
      <w:r w:rsidR="009B424B" w:rsidRPr="00844541">
        <w:rPr>
          <w:lang w:val="fr-FR"/>
        </w:rPr>
        <w:t xml:space="preserve"> </w:t>
      </w:r>
      <w:r w:rsidR="00CA6BA5" w:rsidRPr="00844541">
        <w:rPr>
          <w:lang w:val="fr-FR"/>
        </w:rPr>
        <w:t>gréco-catholique</w:t>
      </w:r>
      <w:r w:rsidR="009B424B" w:rsidRPr="00844541">
        <w:rPr>
          <w:lang w:val="fr-FR"/>
        </w:rPr>
        <w:t xml:space="preserve"> de Lugoj et </w:t>
      </w:r>
      <w:r w:rsidR="00A97EF9" w:rsidRPr="00844541">
        <w:rPr>
          <w:lang w:val="fr-FR"/>
        </w:rPr>
        <w:t>l</w:t>
      </w:r>
      <w:r w:rsidR="00844541">
        <w:rPr>
          <w:lang w:val="fr-FR"/>
        </w:rPr>
        <w:t>’</w:t>
      </w:r>
      <w:r w:rsidR="00A97EF9" w:rsidRPr="00844541">
        <w:rPr>
          <w:lang w:val="fr-FR"/>
        </w:rPr>
        <w:t>Archiprêtré (</w:t>
      </w:r>
      <w:r w:rsidR="00A97EF9" w:rsidRPr="00844541">
        <w:rPr>
          <w:i/>
          <w:lang w:val="fr-FR"/>
        </w:rPr>
        <w:t>Protopopiatul</w:t>
      </w:r>
      <w:r w:rsidR="00A97EF9" w:rsidRPr="00844541">
        <w:rPr>
          <w:lang w:val="fr-FR"/>
        </w:rPr>
        <w:t xml:space="preserve">) </w:t>
      </w:r>
      <w:r w:rsidR="00CA6BA5" w:rsidRPr="00844541">
        <w:rPr>
          <w:lang w:val="fr-FR"/>
        </w:rPr>
        <w:t xml:space="preserve">gréco-catholique </w:t>
      </w:r>
      <w:r w:rsidR="009B424B" w:rsidRPr="00844541">
        <w:rPr>
          <w:lang w:val="fr-FR"/>
        </w:rPr>
        <w:t xml:space="preserve">de Lupeni </w:t>
      </w:r>
      <w:r w:rsidR="00835688" w:rsidRPr="00844541">
        <w:rPr>
          <w:noProof/>
          <w:lang w:val="fr-FR"/>
        </w:rPr>
        <w:t>(« les requérants »), ont saisi la Cour le 14 décembre 2011</w:t>
      </w:r>
      <w:r w:rsidR="00EC6427" w:rsidRPr="00844541">
        <w:rPr>
          <w:lang w:val="fr-FR"/>
        </w:rPr>
        <w:t xml:space="preserve"> en vertu de </w:t>
      </w:r>
      <w:r w:rsidR="00835688" w:rsidRPr="00844541">
        <w:rPr>
          <w:noProof/>
          <w:lang w:val="fr-FR"/>
        </w:rPr>
        <w:t>l</w:t>
      </w:r>
      <w:r w:rsidR="00844541">
        <w:rPr>
          <w:noProof/>
          <w:lang w:val="fr-FR"/>
        </w:rPr>
        <w:t>’</w:t>
      </w:r>
      <w:r w:rsidR="00835688" w:rsidRPr="00844541">
        <w:rPr>
          <w:noProof/>
          <w:lang w:val="fr-FR"/>
        </w:rPr>
        <w:t>article 34</w:t>
      </w:r>
      <w:r w:rsidR="00EC6427" w:rsidRPr="00844541">
        <w:rPr>
          <w:lang w:val="fr-FR"/>
        </w:rPr>
        <w:t xml:space="preserve"> de la Convention de sauvegarde des </w:t>
      </w:r>
      <w:r w:rsidR="00445E54" w:rsidRPr="00844541">
        <w:rPr>
          <w:lang w:val="fr-FR"/>
        </w:rPr>
        <w:t>d</w:t>
      </w:r>
      <w:r w:rsidR="00EC6427" w:rsidRPr="00844541">
        <w:rPr>
          <w:lang w:val="fr-FR"/>
        </w:rPr>
        <w:t>roits de l</w:t>
      </w:r>
      <w:r w:rsidR="00844541">
        <w:rPr>
          <w:lang w:val="fr-FR"/>
        </w:rPr>
        <w:t>’</w:t>
      </w:r>
      <w:r w:rsidR="00445E54" w:rsidRPr="00844541">
        <w:rPr>
          <w:lang w:val="fr-FR"/>
        </w:rPr>
        <w:t>h</w:t>
      </w:r>
      <w:r w:rsidR="00DC1AF9" w:rsidRPr="00844541">
        <w:rPr>
          <w:lang w:val="fr-FR"/>
        </w:rPr>
        <w:t>omme et des l</w:t>
      </w:r>
      <w:r w:rsidR="00EC6427" w:rsidRPr="00844541">
        <w:rPr>
          <w:lang w:val="fr-FR"/>
        </w:rPr>
        <w:t>ibertés fondamentales (« la Convention »).</w:t>
      </w:r>
    </w:p>
    <w:p w:rsidR="00835688" w:rsidRPr="00844541" w:rsidRDefault="00AA632A"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2</w:t>
      </w:r>
      <w:r w:rsidRPr="00844541">
        <w:rPr>
          <w:noProof/>
        </w:rPr>
        <w:fldChar w:fldCharType="end"/>
      </w:r>
      <w:r w:rsidR="00EC6427" w:rsidRPr="00844541">
        <w:rPr>
          <w:lang w:val="fr-FR"/>
        </w:rPr>
        <w:t>.  </w:t>
      </w:r>
      <w:r w:rsidR="00835688" w:rsidRPr="00844541">
        <w:rPr>
          <w:noProof/>
          <w:lang w:val="fr-FR"/>
        </w:rPr>
        <w:t>Les requérants ont été représentés par M</w:t>
      </w:r>
      <w:r w:rsidR="00835688" w:rsidRPr="00844541">
        <w:rPr>
          <w:noProof/>
          <w:vertAlign w:val="superscript"/>
          <w:lang w:val="fr-FR"/>
        </w:rPr>
        <w:t>es</w:t>
      </w:r>
      <w:r w:rsidR="00835688" w:rsidRPr="00844541">
        <w:rPr>
          <w:noProof/>
          <w:lang w:val="fr-FR"/>
        </w:rPr>
        <w:t> </w:t>
      </w:r>
      <w:r w:rsidR="003F6053" w:rsidRPr="00844541">
        <w:rPr>
          <w:noProof/>
          <w:lang w:val="fr-FR"/>
        </w:rPr>
        <w:t>D.O.</w:t>
      </w:r>
      <w:r w:rsidR="00835688" w:rsidRPr="00844541">
        <w:rPr>
          <w:noProof/>
          <w:lang w:val="fr-FR"/>
        </w:rPr>
        <w:t xml:space="preserve"> Hatneanu et</w:t>
      </w:r>
      <w:r w:rsidR="003E716D" w:rsidRPr="00844541">
        <w:rPr>
          <w:noProof/>
          <w:lang w:val="fr-FR"/>
        </w:rPr>
        <w:t xml:space="preserve"> C.T</w:t>
      </w:r>
      <w:r w:rsidR="006219D0" w:rsidRPr="00844541">
        <w:rPr>
          <w:noProof/>
          <w:lang w:val="fr-FR"/>
        </w:rPr>
        <w:t>. </w:t>
      </w:r>
      <w:r w:rsidR="003E716D" w:rsidRPr="00844541">
        <w:rPr>
          <w:noProof/>
          <w:lang w:val="fr-FR"/>
        </w:rPr>
        <w:t>Borsany</w:t>
      </w:r>
      <w:r w:rsidR="00975AD0" w:rsidRPr="00844541">
        <w:rPr>
          <w:noProof/>
          <w:lang w:val="fr-FR"/>
        </w:rPr>
        <w:t>i</w:t>
      </w:r>
      <w:r w:rsidR="00835688" w:rsidRPr="00844541">
        <w:rPr>
          <w:noProof/>
          <w:lang w:val="fr-FR"/>
        </w:rPr>
        <w:t>, avocat</w:t>
      </w:r>
      <w:r w:rsidR="003E716D" w:rsidRPr="00844541">
        <w:rPr>
          <w:noProof/>
          <w:lang w:val="fr-FR"/>
        </w:rPr>
        <w:t>e</w:t>
      </w:r>
      <w:r w:rsidR="00835688" w:rsidRPr="00844541">
        <w:rPr>
          <w:noProof/>
          <w:lang w:val="fr-FR"/>
        </w:rPr>
        <w:t xml:space="preserve">s </w:t>
      </w:r>
      <w:r w:rsidR="003E716D" w:rsidRPr="00844541">
        <w:rPr>
          <w:noProof/>
          <w:lang w:val="fr-FR"/>
        </w:rPr>
        <w:t xml:space="preserve">respectivement </w:t>
      </w:r>
      <w:r w:rsidR="00835688" w:rsidRPr="00844541">
        <w:rPr>
          <w:noProof/>
          <w:lang w:val="fr-FR"/>
        </w:rPr>
        <w:t xml:space="preserve">à </w:t>
      </w:r>
      <w:r w:rsidR="00C61844" w:rsidRPr="00844541">
        <w:rPr>
          <w:noProof/>
          <w:lang w:val="fr-FR"/>
        </w:rPr>
        <w:t>Bucarest</w:t>
      </w:r>
      <w:r w:rsidR="00D44FF0" w:rsidRPr="00844541">
        <w:rPr>
          <w:noProof/>
          <w:lang w:val="fr-FR"/>
        </w:rPr>
        <w:t xml:space="preserve"> et à Timi</w:t>
      </w:r>
      <w:r w:rsidR="00D44FF0" w:rsidRPr="00844541">
        <w:rPr>
          <w:noProof/>
          <w:lang w:val="ro-RO"/>
        </w:rPr>
        <w:t>ș</w:t>
      </w:r>
      <w:r w:rsidR="003E716D" w:rsidRPr="00844541">
        <w:rPr>
          <w:noProof/>
          <w:lang w:val="fr-FR"/>
        </w:rPr>
        <w:t>oara</w:t>
      </w:r>
      <w:r w:rsidR="00835688" w:rsidRPr="00844541">
        <w:rPr>
          <w:noProof/>
          <w:lang w:val="fr-FR"/>
        </w:rPr>
        <w:t xml:space="preserve">. </w:t>
      </w:r>
      <w:r w:rsidR="00EC6427" w:rsidRPr="00844541">
        <w:rPr>
          <w:lang w:val="fr-FR"/>
        </w:rPr>
        <w:t xml:space="preserve">Le gouvernement </w:t>
      </w:r>
      <w:r w:rsidR="00835688" w:rsidRPr="00844541">
        <w:rPr>
          <w:lang w:val="fr-FR"/>
        </w:rPr>
        <w:t>roumain</w:t>
      </w:r>
      <w:r w:rsidR="00EC6427" w:rsidRPr="00844541">
        <w:rPr>
          <w:lang w:val="fr-FR"/>
        </w:rPr>
        <w:t xml:space="preserve"> (« le Gouvernement ») </w:t>
      </w:r>
      <w:r w:rsidR="00D603FB" w:rsidRPr="00844541">
        <w:rPr>
          <w:lang w:val="fr-FR"/>
        </w:rPr>
        <w:t>a été</w:t>
      </w:r>
      <w:r w:rsidR="00EC6427" w:rsidRPr="00844541">
        <w:rPr>
          <w:lang w:val="fr-FR"/>
        </w:rPr>
        <w:t xml:space="preserve"> représenté par son agent</w:t>
      </w:r>
      <w:r w:rsidR="006219D0" w:rsidRPr="00844541">
        <w:rPr>
          <w:lang w:val="fr-FR"/>
        </w:rPr>
        <w:t>e</w:t>
      </w:r>
      <w:r w:rsidR="00EC6427" w:rsidRPr="00844541">
        <w:rPr>
          <w:lang w:val="fr-FR"/>
        </w:rPr>
        <w:t xml:space="preserve">, </w:t>
      </w:r>
      <w:r w:rsidR="003E716D" w:rsidRPr="00844541">
        <w:rPr>
          <w:lang w:val="fr-FR"/>
        </w:rPr>
        <w:t>M</w:t>
      </w:r>
      <w:r w:rsidR="003E716D" w:rsidRPr="00844541">
        <w:rPr>
          <w:vertAlign w:val="superscript"/>
          <w:lang w:val="fr-FR"/>
        </w:rPr>
        <w:t>me</w:t>
      </w:r>
      <w:r w:rsidR="003E716D" w:rsidRPr="00844541">
        <w:rPr>
          <w:lang w:val="fr-FR"/>
        </w:rPr>
        <w:t xml:space="preserve"> C. Brumar</w:t>
      </w:r>
      <w:r w:rsidR="00EC6427" w:rsidRPr="00844541">
        <w:rPr>
          <w:lang w:val="fr-FR"/>
        </w:rPr>
        <w:t>,</w:t>
      </w:r>
      <w:r w:rsidR="003E716D" w:rsidRPr="00844541">
        <w:rPr>
          <w:lang w:val="fr-FR"/>
        </w:rPr>
        <w:t xml:space="preserve"> du ministère des Affaires étrangères</w:t>
      </w:r>
      <w:r w:rsidR="00EC6427" w:rsidRPr="00844541">
        <w:rPr>
          <w:lang w:val="fr-FR"/>
        </w:rPr>
        <w:t>.</w:t>
      </w:r>
    </w:p>
    <w:p w:rsidR="0008319B" w:rsidRPr="00844541" w:rsidRDefault="00835688" w:rsidP="00844541">
      <w:pPr>
        <w:pStyle w:val="ECHRPara"/>
        <w:rPr>
          <w:lang w:val="fr-FR"/>
        </w:rPr>
      </w:pPr>
      <w:r w:rsidRPr="00844541">
        <w:rPr>
          <w:noProof/>
        </w:rPr>
        <w:fldChar w:fldCharType="begin"/>
      </w:r>
      <w:r w:rsidRPr="00844541">
        <w:rPr>
          <w:noProof/>
          <w:lang w:val="fr-FR"/>
        </w:rPr>
        <w:instrText xml:space="preserve"> SEQ level0 \*arabic </w:instrText>
      </w:r>
      <w:r w:rsidRPr="00844541">
        <w:rPr>
          <w:noProof/>
        </w:rPr>
        <w:fldChar w:fldCharType="separate"/>
      </w:r>
      <w:r w:rsidR="00767866">
        <w:rPr>
          <w:noProof/>
          <w:lang w:val="fr-FR"/>
        </w:rPr>
        <w:t>3</w:t>
      </w:r>
      <w:r w:rsidRPr="00844541">
        <w:rPr>
          <w:noProof/>
        </w:rPr>
        <w:fldChar w:fldCharType="end"/>
      </w:r>
      <w:r w:rsidRPr="00844541">
        <w:rPr>
          <w:noProof/>
          <w:lang w:val="fr-FR"/>
        </w:rPr>
        <w:t>.  </w:t>
      </w:r>
      <w:r w:rsidR="00CA6BA5" w:rsidRPr="00844541">
        <w:rPr>
          <w:lang w:val="fr-FR"/>
        </w:rPr>
        <w:t>Dénonçant un refus des juridictions nationales de statuer sur ce qu</w:t>
      </w:r>
      <w:r w:rsidR="00844541">
        <w:rPr>
          <w:lang w:val="fr-FR"/>
        </w:rPr>
        <w:t>’</w:t>
      </w:r>
      <w:r w:rsidR="00CA6BA5" w:rsidRPr="00844541">
        <w:rPr>
          <w:lang w:val="fr-FR"/>
        </w:rPr>
        <w:t>ils estiment être leur droit d</w:t>
      </w:r>
      <w:r w:rsidR="00365DEA" w:rsidRPr="00844541">
        <w:rPr>
          <w:lang w:val="fr-FR"/>
        </w:rPr>
        <w:t>e propriété sur</w:t>
      </w:r>
      <w:r w:rsidR="00CA6BA5" w:rsidRPr="00844541">
        <w:rPr>
          <w:lang w:val="fr-FR"/>
        </w:rPr>
        <w:t xml:space="preserve"> un édifice de culte sur le fondement du droit commun, </w:t>
      </w:r>
      <w:r w:rsidR="00CA6BA5" w:rsidRPr="00844541">
        <w:rPr>
          <w:noProof/>
          <w:lang w:val="fr-FR"/>
        </w:rPr>
        <w:t>l</w:t>
      </w:r>
      <w:r w:rsidRPr="00844541">
        <w:rPr>
          <w:noProof/>
          <w:lang w:val="fr-FR"/>
        </w:rPr>
        <w:t xml:space="preserve">es requérants </w:t>
      </w:r>
      <w:r w:rsidR="00CA6BA5" w:rsidRPr="00844541">
        <w:rPr>
          <w:noProof/>
          <w:lang w:val="fr-FR"/>
        </w:rPr>
        <w:t>se plaignent</w:t>
      </w:r>
      <w:r w:rsidR="006219D0" w:rsidRPr="00844541">
        <w:rPr>
          <w:noProof/>
          <w:lang w:val="fr-FR"/>
        </w:rPr>
        <w:t xml:space="preserve"> </w:t>
      </w:r>
      <w:r w:rsidRPr="00844541">
        <w:rPr>
          <w:noProof/>
          <w:lang w:val="fr-FR"/>
        </w:rPr>
        <w:t>en particulier</w:t>
      </w:r>
      <w:r w:rsidR="00DB6026" w:rsidRPr="00844541">
        <w:rPr>
          <w:noProof/>
          <w:lang w:val="fr-FR"/>
        </w:rPr>
        <w:t xml:space="preserve"> </w:t>
      </w:r>
      <w:r w:rsidR="00CA6BA5" w:rsidRPr="00844541">
        <w:rPr>
          <w:noProof/>
          <w:lang w:val="fr-FR"/>
        </w:rPr>
        <w:t>d</w:t>
      </w:r>
      <w:r w:rsidR="00844541">
        <w:rPr>
          <w:noProof/>
          <w:lang w:val="fr-FR"/>
        </w:rPr>
        <w:t>’</w:t>
      </w:r>
      <w:r w:rsidR="00DB6026" w:rsidRPr="00844541">
        <w:rPr>
          <w:noProof/>
          <w:lang w:val="fr-FR"/>
        </w:rPr>
        <w:t xml:space="preserve">une atteinte </w:t>
      </w:r>
      <w:r w:rsidR="00907F77" w:rsidRPr="00844541">
        <w:rPr>
          <w:noProof/>
          <w:lang w:val="fr-FR"/>
        </w:rPr>
        <w:t xml:space="preserve">à </w:t>
      </w:r>
      <w:r w:rsidR="00DB6026" w:rsidRPr="00844541">
        <w:rPr>
          <w:noProof/>
          <w:lang w:val="fr-FR"/>
        </w:rPr>
        <w:t>leur droit d</w:t>
      </w:r>
      <w:r w:rsidR="00844541">
        <w:rPr>
          <w:noProof/>
          <w:lang w:val="fr-FR"/>
        </w:rPr>
        <w:t>’</w:t>
      </w:r>
      <w:r w:rsidR="0008319B" w:rsidRPr="00844541">
        <w:rPr>
          <w:noProof/>
          <w:lang w:val="fr-FR"/>
        </w:rPr>
        <w:t>accès à un tribunal</w:t>
      </w:r>
      <w:r w:rsidR="00FA1F4A" w:rsidRPr="00844541">
        <w:rPr>
          <w:noProof/>
          <w:lang w:val="fr-FR"/>
        </w:rPr>
        <w:t xml:space="preserve"> et au respect du principe de la sécurité juridique</w:t>
      </w:r>
      <w:r w:rsidR="0008319B" w:rsidRPr="00844541">
        <w:rPr>
          <w:lang w:val="fr-FR"/>
        </w:rPr>
        <w:t xml:space="preserve">. </w:t>
      </w:r>
      <w:r w:rsidR="0096350A" w:rsidRPr="00844541">
        <w:rPr>
          <w:lang w:val="fr-FR"/>
        </w:rPr>
        <w:t xml:space="preserve">Ils </w:t>
      </w:r>
      <w:r w:rsidR="006219D0" w:rsidRPr="00844541">
        <w:rPr>
          <w:lang w:val="fr-FR"/>
        </w:rPr>
        <w:t xml:space="preserve">se plaignent </w:t>
      </w:r>
      <w:r w:rsidR="0096350A" w:rsidRPr="00844541">
        <w:rPr>
          <w:lang w:val="fr-FR"/>
        </w:rPr>
        <w:t xml:space="preserve">également </w:t>
      </w:r>
      <w:r w:rsidR="006219D0" w:rsidRPr="00844541">
        <w:rPr>
          <w:lang w:val="fr-FR"/>
        </w:rPr>
        <w:t xml:space="preserve">de </w:t>
      </w:r>
      <w:r w:rsidR="0096350A" w:rsidRPr="00844541">
        <w:rPr>
          <w:lang w:val="fr-FR"/>
        </w:rPr>
        <w:t xml:space="preserve">la durée de la procédure </w:t>
      </w:r>
      <w:r w:rsidR="00CA6BA5" w:rsidRPr="00844541">
        <w:rPr>
          <w:lang w:val="fr-FR"/>
        </w:rPr>
        <w:t>visant à</w:t>
      </w:r>
      <w:r w:rsidR="0096350A" w:rsidRPr="00844541">
        <w:rPr>
          <w:lang w:val="fr-FR"/>
        </w:rPr>
        <w:t xml:space="preserve"> la restitution du lieu d</w:t>
      </w:r>
      <w:r w:rsidR="00CA6BA5" w:rsidRPr="00844541">
        <w:rPr>
          <w:lang w:val="fr-FR"/>
        </w:rPr>
        <w:t>e</w:t>
      </w:r>
      <w:r w:rsidR="0096350A" w:rsidRPr="00844541">
        <w:rPr>
          <w:lang w:val="fr-FR"/>
        </w:rPr>
        <w:t xml:space="preserve"> culte. </w:t>
      </w:r>
      <w:r w:rsidR="0008319B" w:rsidRPr="00844541">
        <w:rPr>
          <w:lang w:val="fr-FR"/>
        </w:rPr>
        <w:t>Se fondant princ</w:t>
      </w:r>
      <w:r w:rsidR="00346B3C" w:rsidRPr="00844541">
        <w:rPr>
          <w:lang w:val="fr-FR"/>
        </w:rPr>
        <w:t>ipalement sur les mêmes faits, ils se plaignent</w:t>
      </w:r>
      <w:r w:rsidR="0008319B" w:rsidRPr="00844541">
        <w:rPr>
          <w:lang w:val="fr-FR"/>
        </w:rPr>
        <w:t xml:space="preserve"> </w:t>
      </w:r>
      <w:r w:rsidR="006219D0" w:rsidRPr="00844541">
        <w:rPr>
          <w:lang w:val="fr-FR"/>
        </w:rPr>
        <w:t xml:space="preserve">en outre </w:t>
      </w:r>
      <w:r w:rsidR="0008319B" w:rsidRPr="00844541">
        <w:rPr>
          <w:lang w:val="fr-FR"/>
        </w:rPr>
        <w:t>d</w:t>
      </w:r>
      <w:r w:rsidR="00844541">
        <w:rPr>
          <w:lang w:val="fr-FR"/>
        </w:rPr>
        <w:t>’</w:t>
      </w:r>
      <w:r w:rsidR="0008319B" w:rsidRPr="00844541">
        <w:rPr>
          <w:lang w:val="fr-FR"/>
        </w:rPr>
        <w:t>une atteinte à</w:t>
      </w:r>
      <w:r w:rsidR="00346B3C" w:rsidRPr="00844541">
        <w:rPr>
          <w:lang w:val="fr-FR"/>
        </w:rPr>
        <w:t xml:space="preserve"> leur</w:t>
      </w:r>
      <w:r w:rsidR="0008319B" w:rsidRPr="00844541">
        <w:rPr>
          <w:lang w:val="fr-FR"/>
        </w:rPr>
        <w:t xml:space="preserve"> droit de propriété et à</w:t>
      </w:r>
      <w:r w:rsidR="006219D0" w:rsidRPr="00844541">
        <w:rPr>
          <w:lang w:val="fr-FR"/>
        </w:rPr>
        <w:t xml:space="preserve"> leur droit à</w:t>
      </w:r>
      <w:r w:rsidR="0008319B" w:rsidRPr="00844541">
        <w:rPr>
          <w:lang w:val="fr-FR"/>
        </w:rPr>
        <w:t xml:space="preserve"> </w:t>
      </w:r>
      <w:r w:rsidR="00346B3C" w:rsidRPr="00844541">
        <w:rPr>
          <w:lang w:val="fr-FR"/>
        </w:rPr>
        <w:t>l</w:t>
      </w:r>
      <w:r w:rsidR="006219D0" w:rsidRPr="00844541">
        <w:rPr>
          <w:lang w:val="fr-FR"/>
        </w:rPr>
        <w:t>a</w:t>
      </w:r>
      <w:r w:rsidR="0008319B" w:rsidRPr="00844541">
        <w:rPr>
          <w:lang w:val="fr-FR"/>
        </w:rPr>
        <w:t xml:space="preserve"> liberté de religion</w:t>
      </w:r>
      <w:r w:rsidR="006219D0" w:rsidRPr="00844541">
        <w:rPr>
          <w:lang w:val="fr-FR"/>
        </w:rPr>
        <w:t xml:space="preserve"> ainsi que d</w:t>
      </w:r>
      <w:r w:rsidR="00844541">
        <w:rPr>
          <w:lang w:val="fr-FR"/>
        </w:rPr>
        <w:t>’</w:t>
      </w:r>
      <w:r w:rsidR="006219D0" w:rsidRPr="00844541">
        <w:rPr>
          <w:lang w:val="fr-FR"/>
        </w:rPr>
        <w:t xml:space="preserve">une </w:t>
      </w:r>
      <w:r w:rsidR="00CA6BA5" w:rsidRPr="00844541">
        <w:rPr>
          <w:lang w:val="fr-FR"/>
        </w:rPr>
        <w:t>violation</w:t>
      </w:r>
      <w:r w:rsidR="0008319B" w:rsidRPr="00844541">
        <w:rPr>
          <w:lang w:val="fr-FR"/>
        </w:rPr>
        <w:t xml:space="preserve"> d</w:t>
      </w:r>
      <w:r w:rsidR="006219D0" w:rsidRPr="00844541">
        <w:rPr>
          <w:lang w:val="fr-FR"/>
        </w:rPr>
        <w:t>e l</w:t>
      </w:r>
      <w:r w:rsidR="00844541">
        <w:rPr>
          <w:lang w:val="fr-FR"/>
        </w:rPr>
        <w:t>’</w:t>
      </w:r>
      <w:r w:rsidR="0008319B" w:rsidRPr="00844541">
        <w:rPr>
          <w:lang w:val="fr-FR"/>
        </w:rPr>
        <w:t xml:space="preserve">interdiction de </w:t>
      </w:r>
      <w:r w:rsidR="00EE6081" w:rsidRPr="00844541">
        <w:rPr>
          <w:lang w:val="fr-FR"/>
        </w:rPr>
        <w:t xml:space="preserve">la </w:t>
      </w:r>
      <w:r w:rsidR="0008319B" w:rsidRPr="00844541">
        <w:rPr>
          <w:lang w:val="fr-FR"/>
        </w:rPr>
        <w:t>discrimination.</w:t>
      </w:r>
    </w:p>
    <w:p w:rsidR="00B43D08" w:rsidRPr="00844541" w:rsidRDefault="0083568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4</w:t>
      </w:r>
      <w:r w:rsidRPr="00844541">
        <w:fldChar w:fldCharType="end"/>
      </w:r>
      <w:r w:rsidR="00FC739E" w:rsidRPr="00844541">
        <w:rPr>
          <w:lang w:val="fr-FR"/>
        </w:rPr>
        <w:t xml:space="preserve">.  Le </w:t>
      </w:r>
      <w:r w:rsidRPr="00844541">
        <w:rPr>
          <w:noProof/>
          <w:lang w:val="fr-FR"/>
        </w:rPr>
        <w:t>18 décembre 2012</w:t>
      </w:r>
      <w:r w:rsidR="00FC739E" w:rsidRPr="00844541">
        <w:rPr>
          <w:lang w:val="fr-FR"/>
        </w:rPr>
        <w:t xml:space="preserve">, </w:t>
      </w:r>
      <w:r w:rsidRPr="00844541">
        <w:rPr>
          <w:noProof/>
          <w:lang w:val="fr-FR"/>
        </w:rPr>
        <w:t>la requête a</w:t>
      </w:r>
      <w:r w:rsidR="00FC739E" w:rsidRPr="00844541">
        <w:rPr>
          <w:lang w:val="fr-FR"/>
        </w:rPr>
        <w:t xml:space="preserve"> été </w:t>
      </w:r>
      <w:r w:rsidRPr="00844541">
        <w:rPr>
          <w:noProof/>
          <w:lang w:val="fr-FR"/>
        </w:rPr>
        <w:t>communiquée</w:t>
      </w:r>
      <w:r w:rsidR="00FC739E" w:rsidRPr="00844541">
        <w:rPr>
          <w:lang w:val="fr-FR"/>
        </w:rPr>
        <w:t xml:space="preserve"> au Gouvernement.</w:t>
      </w:r>
    </w:p>
    <w:p w:rsidR="00511E16"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5</w:t>
      </w:r>
      <w:r w:rsidRPr="00844541">
        <w:rPr>
          <w:noProof/>
        </w:rPr>
        <w:fldChar w:fldCharType="end"/>
      </w:r>
      <w:r w:rsidR="00673D73" w:rsidRPr="00844541">
        <w:rPr>
          <w:lang w:val="fr-FR"/>
        </w:rPr>
        <w:t>.  </w:t>
      </w:r>
      <w:r w:rsidR="00511E16" w:rsidRPr="00844541">
        <w:rPr>
          <w:lang w:val="fr-FR"/>
        </w:rPr>
        <w:t xml:space="preserve">Le 8 avril 2014, </w:t>
      </w:r>
      <w:r w:rsidR="00CA6BA5" w:rsidRPr="00844541">
        <w:rPr>
          <w:lang w:val="fr-FR"/>
        </w:rPr>
        <w:t>la</w:t>
      </w:r>
      <w:r w:rsidR="00511E16" w:rsidRPr="00844541">
        <w:rPr>
          <w:lang w:val="fr-FR"/>
        </w:rPr>
        <w:t xml:space="preserve"> </w:t>
      </w:r>
      <w:r w:rsidR="006219D0" w:rsidRPr="00844541">
        <w:rPr>
          <w:lang w:val="fr-FR"/>
        </w:rPr>
        <w:t>c</w:t>
      </w:r>
      <w:r w:rsidR="00511E16" w:rsidRPr="00844541">
        <w:rPr>
          <w:lang w:val="fr-FR"/>
        </w:rPr>
        <w:t>hambre a décidé, en vertu de l</w:t>
      </w:r>
      <w:r w:rsidR="00844541">
        <w:rPr>
          <w:lang w:val="fr-FR"/>
        </w:rPr>
        <w:t>’</w:t>
      </w:r>
      <w:r w:rsidR="00511E16" w:rsidRPr="00844541">
        <w:rPr>
          <w:lang w:val="fr-FR"/>
        </w:rPr>
        <w:t>article 54 § 2 c) d</w:t>
      </w:r>
      <w:r w:rsidR="006219D0" w:rsidRPr="00844541">
        <w:rPr>
          <w:lang w:val="fr-FR"/>
        </w:rPr>
        <w:t>u</w:t>
      </w:r>
      <w:r w:rsidR="00511E16" w:rsidRPr="00844541">
        <w:rPr>
          <w:lang w:val="fr-FR"/>
        </w:rPr>
        <w:t xml:space="preserve"> règlement de la Cour, d</w:t>
      </w:r>
      <w:r w:rsidR="00844541">
        <w:rPr>
          <w:lang w:val="fr-FR"/>
        </w:rPr>
        <w:t>’</w:t>
      </w:r>
      <w:r w:rsidR="00511E16" w:rsidRPr="00844541">
        <w:rPr>
          <w:lang w:val="fr-FR"/>
        </w:rPr>
        <w:t xml:space="preserve">inviter les parties à lui présenter par écrit des observations complémentaires sur la recevabilité et </w:t>
      </w:r>
      <w:r w:rsidR="006219D0" w:rsidRPr="00844541">
        <w:rPr>
          <w:lang w:val="fr-FR"/>
        </w:rPr>
        <w:t xml:space="preserve">sur </w:t>
      </w:r>
      <w:r w:rsidR="00511E16" w:rsidRPr="00844541">
        <w:rPr>
          <w:lang w:val="fr-FR"/>
        </w:rPr>
        <w:t xml:space="preserve">le </w:t>
      </w:r>
      <w:r w:rsidR="006219D0" w:rsidRPr="00844541">
        <w:rPr>
          <w:lang w:val="fr-FR"/>
        </w:rPr>
        <w:t>fond</w:t>
      </w:r>
      <w:r w:rsidR="00511E16" w:rsidRPr="00844541">
        <w:rPr>
          <w:lang w:val="fr-FR"/>
        </w:rPr>
        <w:t xml:space="preserve"> de la requête.</w:t>
      </w:r>
    </w:p>
    <w:p w:rsidR="001B58D5" w:rsidRPr="00844541" w:rsidRDefault="001B58D5" w:rsidP="00844541">
      <w:pPr>
        <w:pStyle w:val="ECHRPara"/>
        <w:rPr>
          <w:sz w:val="22"/>
          <w:lang w:val="fr-FR"/>
        </w:rPr>
      </w:pPr>
      <w:r w:rsidRPr="00844541">
        <w:rPr>
          <w:lang w:eastAsia="en-GB"/>
        </w:rPr>
        <w:lastRenderedPageBreak/>
        <w:fldChar w:fldCharType="begin"/>
      </w:r>
      <w:r w:rsidRPr="00844541">
        <w:rPr>
          <w:lang w:val="fr-FR" w:eastAsia="en-GB"/>
        </w:rPr>
        <w:instrText xml:space="preserve"> SEQ level0 \*arabic </w:instrText>
      </w:r>
      <w:r w:rsidRPr="00844541">
        <w:rPr>
          <w:lang w:eastAsia="en-GB"/>
        </w:rPr>
        <w:fldChar w:fldCharType="separate"/>
      </w:r>
      <w:r w:rsidR="00767866">
        <w:rPr>
          <w:noProof/>
          <w:lang w:val="fr-FR" w:eastAsia="en-GB"/>
        </w:rPr>
        <w:t>6</w:t>
      </w:r>
      <w:r w:rsidRPr="00844541">
        <w:rPr>
          <w:lang w:eastAsia="en-GB"/>
        </w:rPr>
        <w:fldChar w:fldCharType="end"/>
      </w:r>
      <w:r w:rsidRPr="00844541">
        <w:rPr>
          <w:lang w:val="fr-FR" w:eastAsia="en-GB"/>
        </w:rPr>
        <w:t>.  </w:t>
      </w:r>
      <w:r w:rsidR="005F1B24" w:rsidRPr="00844541">
        <w:rPr>
          <w:lang w:val="fr-FR" w:eastAsia="en-GB"/>
        </w:rPr>
        <w:t>À</w:t>
      </w:r>
      <w:r w:rsidRPr="00844541">
        <w:rPr>
          <w:lang w:val="fr-FR" w:eastAsia="en-GB"/>
        </w:rPr>
        <w:t xml:space="preserve"> la suite du déport de M</w:t>
      </w:r>
      <w:r w:rsidRPr="00844541">
        <w:rPr>
          <w:vertAlign w:val="superscript"/>
          <w:lang w:val="fr-FR" w:eastAsia="en-GB"/>
        </w:rPr>
        <w:t>me</w:t>
      </w:r>
      <w:r w:rsidRPr="00844541">
        <w:rPr>
          <w:lang w:val="fr-FR" w:eastAsia="en-GB"/>
        </w:rPr>
        <w:t xml:space="preserve"> Iulia </w:t>
      </w:r>
      <w:r w:rsidR="00880D34" w:rsidRPr="00844541">
        <w:rPr>
          <w:lang w:val="fr-FR" w:eastAsia="en-GB"/>
        </w:rPr>
        <w:t>Antoanell</w:t>
      </w:r>
      <w:r w:rsidR="00B27CE4" w:rsidRPr="00844541">
        <w:rPr>
          <w:lang w:val="fr-FR" w:eastAsia="en-GB"/>
        </w:rPr>
        <w:t>a</w:t>
      </w:r>
      <w:r w:rsidR="00880D34" w:rsidRPr="00844541">
        <w:rPr>
          <w:lang w:val="fr-FR" w:eastAsia="en-GB"/>
        </w:rPr>
        <w:t xml:space="preserve"> </w:t>
      </w:r>
      <w:r w:rsidRPr="00844541">
        <w:rPr>
          <w:lang w:val="fr-FR" w:eastAsia="en-GB"/>
        </w:rPr>
        <w:t>Motoc, juge élue au titre de la Roumanie (article 28 du règlement), le président de la chambre a désigné M</w:t>
      </w:r>
      <w:r w:rsidRPr="00844541">
        <w:rPr>
          <w:vertAlign w:val="superscript"/>
          <w:lang w:val="fr-FR" w:eastAsia="en-GB"/>
        </w:rPr>
        <w:t>me</w:t>
      </w:r>
      <w:r w:rsidRPr="00844541">
        <w:rPr>
          <w:lang w:val="fr-FR" w:eastAsia="en-GB"/>
        </w:rPr>
        <w:t xml:space="preserve"> Kristina Pardalos pour siéger en qualité de juge </w:t>
      </w:r>
      <w:r w:rsidRPr="00844541">
        <w:rPr>
          <w:i/>
          <w:lang w:val="fr-FR" w:eastAsia="en-GB"/>
        </w:rPr>
        <w:t>ad hoc</w:t>
      </w:r>
      <w:r w:rsidRPr="00844541">
        <w:rPr>
          <w:lang w:val="fr-FR" w:eastAsia="en-GB"/>
        </w:rPr>
        <w:t xml:space="preserve"> (</w:t>
      </w:r>
      <w:r w:rsidR="006219D0" w:rsidRPr="00844541">
        <w:rPr>
          <w:lang w:val="fr-FR" w:eastAsia="en-GB"/>
        </w:rPr>
        <w:t>article </w:t>
      </w:r>
      <w:r w:rsidRPr="00844541">
        <w:rPr>
          <w:lang w:val="fr-FR" w:eastAsia="en-GB"/>
        </w:rPr>
        <w:t xml:space="preserve">26 § 4 de la Convention et </w:t>
      </w:r>
      <w:r w:rsidR="006219D0" w:rsidRPr="00844541">
        <w:rPr>
          <w:lang w:val="fr-FR" w:eastAsia="en-GB"/>
        </w:rPr>
        <w:t xml:space="preserve">article </w:t>
      </w:r>
      <w:r w:rsidRPr="00844541">
        <w:rPr>
          <w:lang w:val="fr-FR" w:eastAsia="en-GB"/>
        </w:rPr>
        <w:t>29 § 1 du règlement).</w:t>
      </w:r>
    </w:p>
    <w:p w:rsidR="00EC6427" w:rsidRPr="00844541" w:rsidRDefault="00EC6427" w:rsidP="00844541">
      <w:pPr>
        <w:pStyle w:val="ECHRTitle1"/>
        <w:tabs>
          <w:tab w:val="left" w:pos="5387"/>
        </w:tabs>
      </w:pPr>
      <w:r w:rsidRPr="00844541">
        <w:t>EN FAIT</w:t>
      </w:r>
    </w:p>
    <w:p w:rsidR="00D31210" w:rsidRPr="00844541" w:rsidRDefault="0000732D" w:rsidP="00844541">
      <w:pPr>
        <w:pStyle w:val="ECHRHeading1"/>
      </w:pPr>
      <w:r w:rsidRPr="00844541">
        <w:t>I.  LES CIRCONSTANCES DE L</w:t>
      </w:r>
      <w:r w:rsidR="00844541">
        <w:t>’</w:t>
      </w:r>
      <w:r w:rsidRPr="00844541">
        <w:t>ESPÈC</w:t>
      </w:r>
      <w:r w:rsidR="00D31210" w:rsidRPr="00844541">
        <w:t>E</w:t>
      </w:r>
    </w:p>
    <w:p w:rsidR="00B43D08" w:rsidRPr="00844541" w:rsidRDefault="00AA632A" w:rsidP="00844541">
      <w:pPr>
        <w:pStyle w:val="ECHRPara"/>
        <w:rPr>
          <w:noProof/>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7</w:t>
      </w:r>
      <w:r w:rsidRPr="00844541">
        <w:rPr>
          <w:noProof/>
        </w:rPr>
        <w:fldChar w:fldCharType="end"/>
      </w:r>
      <w:r w:rsidR="00EC6427" w:rsidRPr="00844541">
        <w:rPr>
          <w:lang w:val="fr-FR"/>
        </w:rPr>
        <w:t>.  </w:t>
      </w:r>
      <w:r w:rsidR="00835688" w:rsidRPr="00844541">
        <w:rPr>
          <w:noProof/>
          <w:lang w:val="fr-FR"/>
        </w:rPr>
        <w:t xml:space="preserve">Les requérants </w:t>
      </w:r>
      <w:r w:rsidR="00C7628B" w:rsidRPr="00844541">
        <w:rPr>
          <w:noProof/>
          <w:lang w:val="fr-FR"/>
        </w:rPr>
        <w:t>appartien</w:t>
      </w:r>
      <w:r w:rsidR="00827BA9" w:rsidRPr="00844541">
        <w:rPr>
          <w:noProof/>
          <w:lang w:val="fr-FR"/>
        </w:rPr>
        <w:t>nent</w:t>
      </w:r>
      <w:r w:rsidR="00C7628B" w:rsidRPr="00844541">
        <w:rPr>
          <w:noProof/>
          <w:lang w:val="fr-FR"/>
        </w:rPr>
        <w:t xml:space="preserve"> à l</w:t>
      </w:r>
      <w:r w:rsidR="00844541">
        <w:rPr>
          <w:noProof/>
          <w:lang w:val="fr-FR"/>
        </w:rPr>
        <w:t>’</w:t>
      </w:r>
      <w:r w:rsidR="00673D73" w:rsidRPr="00844541">
        <w:rPr>
          <w:noProof/>
          <w:lang w:val="fr-FR"/>
        </w:rPr>
        <w:t>Église</w:t>
      </w:r>
      <w:r w:rsidR="00C7628B" w:rsidRPr="00844541">
        <w:rPr>
          <w:noProof/>
          <w:lang w:val="fr-FR"/>
        </w:rPr>
        <w:t xml:space="preserve"> cat</w:t>
      </w:r>
      <w:r w:rsidR="00907F77" w:rsidRPr="00844541">
        <w:rPr>
          <w:noProof/>
          <w:lang w:val="fr-FR"/>
        </w:rPr>
        <w:t>h</w:t>
      </w:r>
      <w:r w:rsidR="00C7628B" w:rsidRPr="00844541">
        <w:rPr>
          <w:noProof/>
          <w:lang w:val="fr-FR"/>
        </w:rPr>
        <w:t>olique de rite oriental (gréco-catholique ou uniate).</w:t>
      </w:r>
    </w:p>
    <w:p w:rsidR="00544688" w:rsidRPr="00844541" w:rsidRDefault="002F58A4" w:rsidP="00844541">
      <w:pPr>
        <w:pStyle w:val="ECHRHeading2"/>
      </w:pPr>
      <w:r w:rsidRPr="00844541">
        <w:rPr>
          <w:rStyle w:val="Accentuation"/>
          <w:b/>
          <w:bCs/>
          <w:i w:val="0"/>
          <w:iCs w:val="0"/>
          <w:spacing w:val="0"/>
        </w:rPr>
        <w:t>A</w:t>
      </w:r>
      <w:r w:rsidR="00544688" w:rsidRPr="00844541">
        <w:rPr>
          <w:rStyle w:val="Accentuation"/>
          <w:b/>
          <w:bCs/>
          <w:i w:val="0"/>
          <w:iCs w:val="0"/>
          <w:spacing w:val="0"/>
        </w:rPr>
        <w:t>.</w:t>
      </w:r>
      <w:r w:rsidR="00EF6162" w:rsidRPr="00844541">
        <w:rPr>
          <w:rStyle w:val="Accentuation"/>
          <w:b/>
          <w:bCs/>
          <w:i w:val="0"/>
          <w:iCs w:val="0"/>
          <w:spacing w:val="0"/>
        </w:rPr>
        <w:t>  </w:t>
      </w:r>
      <w:r w:rsidR="00544688" w:rsidRPr="00844541">
        <w:rPr>
          <w:rStyle w:val="Accentuation"/>
          <w:b/>
          <w:bCs/>
          <w:i w:val="0"/>
          <w:iCs w:val="0"/>
          <w:spacing w:val="0"/>
        </w:rPr>
        <w:t xml:space="preserve">Le contexte </w:t>
      </w:r>
      <w:r w:rsidR="00544688" w:rsidRPr="00844541">
        <w:t>historique</w:t>
      </w:r>
      <w:r w:rsidR="00744AA2" w:rsidRPr="00844541">
        <w:t xml:space="preserve"> de l</w:t>
      </w:r>
      <w:r w:rsidR="00844541">
        <w:t>’</w:t>
      </w:r>
      <w:r w:rsidR="00744AA2" w:rsidRPr="00844541">
        <w:t>affaire</w:t>
      </w:r>
    </w:p>
    <w:p w:rsidR="006832E3" w:rsidRPr="00844541" w:rsidRDefault="006832E3" w:rsidP="00844541">
      <w:pPr>
        <w:pStyle w:val="ECHRHeading3"/>
      </w:pPr>
      <w:r w:rsidRPr="00844541">
        <w:t>1.</w:t>
      </w:r>
      <w:r w:rsidR="00CA6BA5" w:rsidRPr="00844541">
        <w:t>  </w:t>
      </w:r>
      <w:r w:rsidRPr="00844541">
        <w:t>Le cadre légal régissant les paroisses gréco-catholiques</w:t>
      </w:r>
    </w:p>
    <w:p w:rsidR="00B43D08" w:rsidRPr="00844541" w:rsidRDefault="00AA632A"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8</w:t>
      </w:r>
      <w:r w:rsidRPr="00844541">
        <w:rPr>
          <w:noProof/>
        </w:rPr>
        <w:fldChar w:fldCharType="end"/>
      </w:r>
      <w:r w:rsidR="00544688" w:rsidRPr="00844541">
        <w:rPr>
          <w:lang w:val="fr-FR"/>
        </w:rPr>
        <w:t>.  Jusqu</w:t>
      </w:r>
      <w:r w:rsidR="00844541">
        <w:rPr>
          <w:lang w:val="fr-FR"/>
        </w:rPr>
        <w:t>’</w:t>
      </w:r>
      <w:r w:rsidR="00544688" w:rsidRPr="00844541">
        <w:rPr>
          <w:lang w:val="fr-FR"/>
        </w:rPr>
        <w:t xml:space="preserve">en 1948, les paroisses gréco-catholiques possédaient </w:t>
      </w:r>
      <w:r w:rsidR="00EE6081" w:rsidRPr="00844541">
        <w:rPr>
          <w:lang w:val="fr-FR"/>
        </w:rPr>
        <w:t xml:space="preserve">différents biens </w:t>
      </w:r>
      <w:r w:rsidR="00544688" w:rsidRPr="00844541">
        <w:rPr>
          <w:lang w:val="fr-FR"/>
        </w:rPr>
        <w:t xml:space="preserve">immeubles, </w:t>
      </w:r>
      <w:r w:rsidR="003945F8" w:rsidRPr="00844541">
        <w:rPr>
          <w:lang w:val="fr-FR"/>
        </w:rPr>
        <w:t>dont</w:t>
      </w:r>
      <w:r w:rsidR="00544688" w:rsidRPr="00844541">
        <w:rPr>
          <w:lang w:val="fr-FR"/>
        </w:rPr>
        <w:t xml:space="preserve"> des églises et les terrains afférents, des maisons paroissiales et des cimetières.</w:t>
      </w:r>
      <w:bookmarkStart w:id="2" w:name="P9"/>
    </w:p>
    <w:p w:rsidR="00B43D08" w:rsidRPr="00844541" w:rsidRDefault="00AA632A"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9</w:t>
      </w:r>
      <w:r w:rsidRPr="00844541">
        <w:rPr>
          <w:noProof/>
        </w:rPr>
        <w:fldChar w:fldCharType="end"/>
      </w:r>
      <w:bookmarkEnd w:id="2"/>
      <w:r w:rsidR="00544688" w:rsidRPr="00844541">
        <w:rPr>
          <w:lang w:val="fr-FR"/>
        </w:rPr>
        <w:t>.  Par le décret-loi n</w:t>
      </w:r>
      <w:r w:rsidR="00544688" w:rsidRPr="00844541">
        <w:rPr>
          <w:vertAlign w:val="superscript"/>
          <w:lang w:val="fr-FR"/>
        </w:rPr>
        <w:t>o</w:t>
      </w:r>
      <w:r w:rsidR="00544688" w:rsidRPr="00844541">
        <w:rPr>
          <w:lang w:val="fr-FR"/>
        </w:rPr>
        <w:t xml:space="preserve"> 358/1948, le culte uniate fut dissou</w:t>
      </w:r>
      <w:r w:rsidR="006219D0" w:rsidRPr="00844541">
        <w:rPr>
          <w:lang w:val="fr-FR"/>
        </w:rPr>
        <w:t>s</w:t>
      </w:r>
      <w:r w:rsidR="00544688" w:rsidRPr="00844541">
        <w:rPr>
          <w:lang w:val="fr-FR"/>
        </w:rPr>
        <w:t>. En vertu du même décret-loi, les biens appartenant à ce culte furent transférés à l</w:t>
      </w:r>
      <w:r w:rsidR="00844541">
        <w:rPr>
          <w:lang w:val="fr-FR"/>
        </w:rPr>
        <w:t>’</w:t>
      </w:r>
      <w:r w:rsidR="00544688" w:rsidRPr="00844541">
        <w:rPr>
          <w:lang w:val="fr-FR"/>
        </w:rPr>
        <w:t>État, à l</w:t>
      </w:r>
      <w:r w:rsidR="00844541">
        <w:rPr>
          <w:lang w:val="fr-FR"/>
        </w:rPr>
        <w:t>’</w:t>
      </w:r>
      <w:r w:rsidR="00544688" w:rsidRPr="00844541">
        <w:rPr>
          <w:lang w:val="fr-FR"/>
        </w:rPr>
        <w:t>exception des biens des paroisses. Une commission interdépartementale chargée de</w:t>
      </w:r>
      <w:r w:rsidR="006D6477" w:rsidRPr="00844541">
        <w:rPr>
          <w:lang w:val="fr-FR"/>
        </w:rPr>
        <w:t xml:space="preserve"> </w:t>
      </w:r>
      <w:r w:rsidR="003945F8" w:rsidRPr="00844541">
        <w:rPr>
          <w:lang w:val="fr-FR"/>
        </w:rPr>
        <w:t xml:space="preserve">fixer </w:t>
      </w:r>
      <w:r w:rsidR="006D6477" w:rsidRPr="00844541">
        <w:rPr>
          <w:lang w:val="fr-FR"/>
        </w:rPr>
        <w:t>l</w:t>
      </w:r>
      <w:r w:rsidR="00844541">
        <w:rPr>
          <w:lang w:val="fr-FR"/>
        </w:rPr>
        <w:t>’</w:t>
      </w:r>
      <w:r w:rsidR="006D6477" w:rsidRPr="00844541">
        <w:rPr>
          <w:lang w:val="fr-FR"/>
        </w:rPr>
        <w:t xml:space="preserve">affectation </w:t>
      </w:r>
      <w:r w:rsidR="00544688" w:rsidRPr="00844541">
        <w:rPr>
          <w:lang w:val="fr-FR"/>
        </w:rPr>
        <w:t>finale de ces biens</w:t>
      </w:r>
      <w:r w:rsidR="006D6477" w:rsidRPr="00844541">
        <w:rPr>
          <w:lang w:val="fr-FR"/>
        </w:rPr>
        <w:t xml:space="preserve"> ne concrétisa jamais cette mission. </w:t>
      </w:r>
      <w:r w:rsidR="003945F8" w:rsidRPr="00844541">
        <w:rPr>
          <w:lang w:val="fr-FR"/>
        </w:rPr>
        <w:t>Les biens des paroisses furent transférés à l</w:t>
      </w:r>
      <w:r w:rsidR="00844541">
        <w:rPr>
          <w:lang w:val="fr-FR"/>
        </w:rPr>
        <w:t>’</w:t>
      </w:r>
      <w:r w:rsidR="003945F8" w:rsidRPr="00844541">
        <w:rPr>
          <w:lang w:val="fr-FR"/>
        </w:rPr>
        <w:t>Église orthodoxe</w:t>
      </w:r>
      <w:r w:rsidR="003945F8" w:rsidRPr="00844541" w:rsidDel="003945F8">
        <w:rPr>
          <w:lang w:val="fr-FR"/>
        </w:rPr>
        <w:t xml:space="preserve"> </w:t>
      </w:r>
      <w:r w:rsidR="003945F8" w:rsidRPr="00844541">
        <w:rPr>
          <w:lang w:val="fr-FR"/>
        </w:rPr>
        <w:t>e</w:t>
      </w:r>
      <w:r w:rsidR="00544688" w:rsidRPr="00844541">
        <w:rPr>
          <w:lang w:val="fr-FR"/>
        </w:rPr>
        <w:t>n vertu du décret n</w:t>
      </w:r>
      <w:r w:rsidR="00544688" w:rsidRPr="00844541">
        <w:rPr>
          <w:vertAlign w:val="superscript"/>
          <w:lang w:val="fr-FR"/>
        </w:rPr>
        <w:t>o</w:t>
      </w:r>
      <w:r w:rsidR="00544688" w:rsidRPr="00844541">
        <w:rPr>
          <w:lang w:val="fr-FR"/>
        </w:rPr>
        <w:t xml:space="preserve"> 177/1948 qui </w:t>
      </w:r>
      <w:r w:rsidR="003945F8" w:rsidRPr="00844541">
        <w:rPr>
          <w:lang w:val="fr-FR"/>
        </w:rPr>
        <w:t xml:space="preserve">énonçait </w:t>
      </w:r>
      <w:r w:rsidR="00544688" w:rsidRPr="00844541">
        <w:rPr>
          <w:lang w:val="fr-FR"/>
        </w:rPr>
        <w:t xml:space="preserve">que, si la majorité des </w:t>
      </w:r>
      <w:r w:rsidR="003945F8" w:rsidRPr="00844541">
        <w:rPr>
          <w:lang w:val="fr-FR"/>
        </w:rPr>
        <w:t xml:space="preserve">fidèles </w:t>
      </w:r>
      <w:r w:rsidR="00544688" w:rsidRPr="00844541">
        <w:rPr>
          <w:lang w:val="fr-FR"/>
        </w:rPr>
        <w:t>d</w:t>
      </w:r>
      <w:r w:rsidR="00844541">
        <w:rPr>
          <w:lang w:val="fr-FR"/>
        </w:rPr>
        <w:t>’</w:t>
      </w:r>
      <w:r w:rsidR="00544688" w:rsidRPr="00844541">
        <w:rPr>
          <w:lang w:val="fr-FR"/>
        </w:rPr>
        <w:t>un</w:t>
      </w:r>
      <w:r w:rsidR="003945F8" w:rsidRPr="00844541">
        <w:rPr>
          <w:lang w:val="fr-FR"/>
        </w:rPr>
        <w:t>e</w:t>
      </w:r>
      <w:r w:rsidR="00544688" w:rsidRPr="00844541">
        <w:rPr>
          <w:lang w:val="fr-FR"/>
        </w:rPr>
        <w:t xml:space="preserve"> </w:t>
      </w:r>
      <w:r w:rsidR="003945F8" w:rsidRPr="00844541">
        <w:rPr>
          <w:lang w:val="fr-FR"/>
        </w:rPr>
        <w:t xml:space="preserve">Église </w:t>
      </w:r>
      <w:r w:rsidR="00544688" w:rsidRPr="00844541">
        <w:rPr>
          <w:lang w:val="fr-FR"/>
        </w:rPr>
        <w:t>devenaient membres d</w:t>
      </w:r>
      <w:r w:rsidR="00844541">
        <w:rPr>
          <w:lang w:val="fr-FR"/>
        </w:rPr>
        <w:t>’</w:t>
      </w:r>
      <w:r w:rsidR="00544688" w:rsidRPr="00844541">
        <w:rPr>
          <w:lang w:val="fr-FR"/>
        </w:rPr>
        <w:t>une autre</w:t>
      </w:r>
      <w:r w:rsidR="003945F8" w:rsidRPr="00844541">
        <w:rPr>
          <w:lang w:val="fr-FR"/>
        </w:rPr>
        <w:t xml:space="preserve"> Église</w:t>
      </w:r>
      <w:r w:rsidR="00544688" w:rsidRPr="00844541">
        <w:rPr>
          <w:lang w:val="fr-FR"/>
        </w:rPr>
        <w:t xml:space="preserve">, les biens ayant appartenu </w:t>
      </w:r>
      <w:r w:rsidR="003945F8" w:rsidRPr="00844541">
        <w:rPr>
          <w:lang w:val="fr-FR"/>
        </w:rPr>
        <w:t>à la première</w:t>
      </w:r>
      <w:r w:rsidR="00544688" w:rsidRPr="00844541">
        <w:rPr>
          <w:lang w:val="fr-FR"/>
        </w:rPr>
        <w:t xml:space="preserve"> seraient transférés dans le patrimoine </w:t>
      </w:r>
      <w:r w:rsidR="003945F8" w:rsidRPr="00844541">
        <w:rPr>
          <w:lang w:val="fr-FR"/>
        </w:rPr>
        <w:t>de la seconde</w:t>
      </w:r>
      <w:r w:rsidR="00544688" w:rsidRPr="00844541">
        <w:rPr>
          <w:lang w:val="fr-FR"/>
        </w:rPr>
        <w:t>.</w:t>
      </w:r>
    </w:p>
    <w:p w:rsidR="00544688"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10</w:t>
      </w:r>
      <w:r w:rsidRPr="00844541">
        <w:rPr>
          <w:noProof/>
        </w:rPr>
        <w:fldChar w:fldCharType="end"/>
      </w:r>
      <w:r w:rsidR="00544688" w:rsidRPr="00844541">
        <w:rPr>
          <w:lang w:val="fr-FR"/>
        </w:rPr>
        <w:t>.  Après la chute du régime communiste</w:t>
      </w:r>
      <w:r w:rsidR="00C101BE" w:rsidRPr="00844541">
        <w:rPr>
          <w:lang w:val="fr-FR"/>
        </w:rPr>
        <w:t>,</w:t>
      </w:r>
      <w:r w:rsidR="00544688" w:rsidRPr="00844541">
        <w:rPr>
          <w:lang w:val="fr-FR"/>
        </w:rPr>
        <w:t xml:space="preserve"> en décembre 1989, le décret n</w:t>
      </w:r>
      <w:r w:rsidR="00544688" w:rsidRPr="00844541">
        <w:rPr>
          <w:vertAlign w:val="superscript"/>
          <w:lang w:val="fr-FR"/>
        </w:rPr>
        <w:t>o</w:t>
      </w:r>
      <w:r w:rsidR="00544688" w:rsidRPr="00844541">
        <w:rPr>
          <w:lang w:val="fr-FR"/>
        </w:rPr>
        <w:t> 358/1948 fut abrogé par le décret-loi n</w:t>
      </w:r>
      <w:r w:rsidR="00544688" w:rsidRPr="00844541">
        <w:rPr>
          <w:vertAlign w:val="superscript"/>
          <w:lang w:val="fr-FR"/>
        </w:rPr>
        <w:t xml:space="preserve">o </w:t>
      </w:r>
      <w:r w:rsidR="00544688" w:rsidRPr="00844541">
        <w:rPr>
          <w:lang w:val="fr-FR"/>
        </w:rPr>
        <w:t>9/1989. Le culte uniate fut reconnu officiellement par le décret-loi n</w:t>
      </w:r>
      <w:r w:rsidR="00EE1080" w:rsidRPr="00844541">
        <w:rPr>
          <w:vertAlign w:val="superscript"/>
          <w:lang w:val="fr-FR"/>
        </w:rPr>
        <w:t>o</w:t>
      </w:r>
      <w:r w:rsidR="00544688" w:rsidRPr="00844541">
        <w:rPr>
          <w:lang w:val="fr-FR"/>
        </w:rPr>
        <w:t xml:space="preserve"> 126/1990</w:t>
      </w:r>
      <w:r w:rsidR="00D6649E" w:rsidRPr="00844541">
        <w:rPr>
          <w:lang w:val="fr-FR"/>
        </w:rPr>
        <w:t xml:space="preserve"> relatif à certaines mesures concernant l</w:t>
      </w:r>
      <w:r w:rsidR="00844541">
        <w:rPr>
          <w:lang w:val="fr-FR"/>
        </w:rPr>
        <w:t>’</w:t>
      </w:r>
      <w:r w:rsidR="00D6649E" w:rsidRPr="00844541">
        <w:rPr>
          <w:lang w:val="fr-FR"/>
        </w:rPr>
        <w:t>Église roumaine unie à Rome (Église gréco</w:t>
      </w:r>
      <w:r w:rsidR="00D44FF0" w:rsidRPr="00844541">
        <w:rPr>
          <w:lang w:val="fr-FR"/>
        </w:rPr>
        <w:noBreakHyphen/>
      </w:r>
      <w:r w:rsidR="00D6649E" w:rsidRPr="00844541">
        <w:rPr>
          <w:lang w:val="fr-FR"/>
        </w:rPr>
        <w:t>catholique)</w:t>
      </w:r>
      <w:r w:rsidR="00544688" w:rsidRPr="00844541">
        <w:rPr>
          <w:lang w:val="fr-FR"/>
        </w:rPr>
        <w:t xml:space="preserve">. </w:t>
      </w:r>
      <w:r w:rsidR="00C31C4E" w:rsidRPr="00844541">
        <w:rPr>
          <w:lang w:val="fr-FR"/>
        </w:rPr>
        <w:t>L</w:t>
      </w:r>
      <w:r w:rsidR="00844541">
        <w:rPr>
          <w:lang w:val="fr-FR"/>
        </w:rPr>
        <w:t>’</w:t>
      </w:r>
      <w:r w:rsidR="00544688" w:rsidRPr="00844541">
        <w:rPr>
          <w:lang w:val="fr-FR"/>
        </w:rPr>
        <w:t>article 3 d</w:t>
      </w:r>
      <w:r w:rsidR="00D6649E" w:rsidRPr="00844541">
        <w:rPr>
          <w:lang w:val="fr-FR"/>
        </w:rPr>
        <w:t>e ce</w:t>
      </w:r>
      <w:r w:rsidR="00544688" w:rsidRPr="00844541">
        <w:rPr>
          <w:lang w:val="fr-FR"/>
        </w:rPr>
        <w:t xml:space="preserve"> décret-loi prévoyait que </w:t>
      </w:r>
      <w:r w:rsidR="00C31C4E" w:rsidRPr="00844541">
        <w:rPr>
          <w:lang w:val="fr-FR"/>
        </w:rPr>
        <w:t>la situation juridique des biens ayant appartenu aux paroisses uniates</w:t>
      </w:r>
      <w:r w:rsidR="00C31C4E" w:rsidRPr="00844541" w:rsidDel="00C31C4E">
        <w:rPr>
          <w:lang w:val="fr-FR"/>
        </w:rPr>
        <w:t xml:space="preserve"> </w:t>
      </w:r>
      <w:r w:rsidR="00544688" w:rsidRPr="00844541">
        <w:rPr>
          <w:lang w:val="fr-FR"/>
        </w:rPr>
        <w:t xml:space="preserve">devait être tranchée par des commissions mixtes constituées de représentants du clergé des deux cultes, uniate et orthodoxe. Pour rendre leurs décisions, ces commissions devaient prendre en compte </w:t>
      </w:r>
      <w:r w:rsidR="00744AA2" w:rsidRPr="00844541">
        <w:rPr>
          <w:lang w:val="fr-FR"/>
        </w:rPr>
        <w:t>« </w:t>
      </w:r>
      <w:r w:rsidR="00544688" w:rsidRPr="00844541">
        <w:rPr>
          <w:lang w:val="fr-FR"/>
        </w:rPr>
        <w:t xml:space="preserve">la volonté des </w:t>
      </w:r>
      <w:r w:rsidR="00D6649E" w:rsidRPr="00844541">
        <w:rPr>
          <w:lang w:val="fr-FR"/>
        </w:rPr>
        <w:t xml:space="preserve">fidèles </w:t>
      </w:r>
      <w:r w:rsidR="00544688" w:rsidRPr="00844541">
        <w:rPr>
          <w:lang w:val="fr-FR"/>
        </w:rPr>
        <w:t>de</w:t>
      </w:r>
      <w:r w:rsidR="00D6649E" w:rsidRPr="00844541">
        <w:rPr>
          <w:lang w:val="fr-FR"/>
        </w:rPr>
        <w:t>s</w:t>
      </w:r>
      <w:r w:rsidR="00744AA2" w:rsidRPr="00844541">
        <w:rPr>
          <w:lang w:val="fr-FR"/>
        </w:rPr>
        <w:t xml:space="preserve"> </w:t>
      </w:r>
      <w:r w:rsidR="00544688" w:rsidRPr="00844541">
        <w:rPr>
          <w:lang w:val="fr-FR"/>
        </w:rPr>
        <w:t>communauté</w:t>
      </w:r>
      <w:r w:rsidR="00D6649E" w:rsidRPr="00844541">
        <w:rPr>
          <w:lang w:val="fr-FR"/>
        </w:rPr>
        <w:t>s</w:t>
      </w:r>
      <w:r w:rsidR="00C07817" w:rsidRPr="00844541">
        <w:rPr>
          <w:lang w:val="fr-FR"/>
        </w:rPr>
        <w:t xml:space="preserve"> </w:t>
      </w:r>
      <w:r w:rsidR="00D6649E" w:rsidRPr="00844541">
        <w:rPr>
          <w:lang w:val="fr-FR"/>
        </w:rPr>
        <w:t xml:space="preserve">détentrices de </w:t>
      </w:r>
      <w:r w:rsidR="00744AA2" w:rsidRPr="00844541">
        <w:rPr>
          <w:lang w:val="fr-FR"/>
        </w:rPr>
        <w:t xml:space="preserve">ces biens » </w:t>
      </w:r>
      <w:r w:rsidR="00C07817" w:rsidRPr="00844541">
        <w:rPr>
          <w:lang w:val="fr-FR"/>
        </w:rPr>
        <w:t xml:space="preserve">(paragraphe </w:t>
      </w:r>
      <w:r w:rsidR="00C07817" w:rsidRPr="00844541">
        <w:fldChar w:fldCharType="begin"/>
      </w:r>
      <w:r w:rsidR="00C07817" w:rsidRPr="00844541">
        <w:rPr>
          <w:lang w:val="fr-FR"/>
        </w:rPr>
        <w:instrText xml:space="preserve"> REF P36 \h </w:instrText>
      </w:r>
      <w:r w:rsidR="003428ED" w:rsidRPr="00844541">
        <w:rPr>
          <w:lang w:val="fr-FR"/>
        </w:rPr>
        <w:instrText xml:space="preserve"> \* MERGEFORMAT </w:instrText>
      </w:r>
      <w:r w:rsidR="00C07817" w:rsidRPr="00844541">
        <w:fldChar w:fldCharType="separate"/>
      </w:r>
      <w:r w:rsidR="00767866">
        <w:rPr>
          <w:noProof/>
          <w:lang w:val="fr-FR"/>
        </w:rPr>
        <w:t>38</w:t>
      </w:r>
      <w:r w:rsidR="00C07817" w:rsidRPr="00844541">
        <w:fldChar w:fldCharType="end"/>
      </w:r>
      <w:r w:rsidR="00C07817" w:rsidRPr="00844541">
        <w:rPr>
          <w:lang w:val="fr-FR"/>
        </w:rPr>
        <w:t xml:space="preserve"> ci-dessous).</w:t>
      </w:r>
    </w:p>
    <w:bookmarkStart w:id="3" w:name="P11"/>
    <w:p w:rsidR="00544688" w:rsidRPr="00844541" w:rsidRDefault="00AA632A"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11</w:t>
      </w:r>
      <w:r w:rsidRPr="00844541">
        <w:rPr>
          <w:noProof/>
        </w:rPr>
        <w:fldChar w:fldCharType="end"/>
      </w:r>
      <w:bookmarkEnd w:id="3"/>
      <w:r w:rsidR="00544688" w:rsidRPr="00844541">
        <w:rPr>
          <w:lang w:val="fr-FR"/>
        </w:rPr>
        <w:t>.  L</w:t>
      </w:r>
      <w:r w:rsidR="00844541">
        <w:rPr>
          <w:lang w:val="fr-FR"/>
        </w:rPr>
        <w:t>’</w:t>
      </w:r>
      <w:r w:rsidR="00544688" w:rsidRPr="00844541">
        <w:rPr>
          <w:lang w:val="fr-FR"/>
        </w:rPr>
        <w:t>article 3 du décret-loi n</w:t>
      </w:r>
      <w:r w:rsidR="00544688" w:rsidRPr="00844541">
        <w:rPr>
          <w:vertAlign w:val="superscript"/>
          <w:lang w:val="fr-FR"/>
        </w:rPr>
        <w:t>o</w:t>
      </w:r>
      <w:r w:rsidR="00544688" w:rsidRPr="00844541">
        <w:rPr>
          <w:lang w:val="fr-FR"/>
        </w:rPr>
        <w:t xml:space="preserve"> 126/1990 fut complété par l</w:t>
      </w:r>
      <w:r w:rsidR="00844541">
        <w:rPr>
          <w:lang w:val="fr-FR"/>
        </w:rPr>
        <w:t>’</w:t>
      </w:r>
      <w:r w:rsidR="00544688" w:rsidRPr="00844541">
        <w:rPr>
          <w:lang w:val="fr-FR"/>
        </w:rPr>
        <w:t xml:space="preserve">ordonnance du </w:t>
      </w:r>
      <w:r w:rsidR="0087100F" w:rsidRPr="00844541">
        <w:rPr>
          <w:lang w:val="fr-FR"/>
        </w:rPr>
        <w:t>g</w:t>
      </w:r>
      <w:r w:rsidR="00544688" w:rsidRPr="00844541">
        <w:rPr>
          <w:lang w:val="fr-FR"/>
        </w:rPr>
        <w:t>ouvernement n</w:t>
      </w:r>
      <w:r w:rsidR="00544688" w:rsidRPr="00844541">
        <w:rPr>
          <w:vertAlign w:val="superscript"/>
          <w:lang w:val="fr-FR"/>
        </w:rPr>
        <w:t>o</w:t>
      </w:r>
      <w:r w:rsidR="00544688" w:rsidRPr="00844541">
        <w:rPr>
          <w:lang w:val="fr-FR"/>
        </w:rPr>
        <w:t xml:space="preserve"> 64/2004 du 13 août 2004 et la loi n</w:t>
      </w:r>
      <w:r w:rsidR="00544688" w:rsidRPr="00844541">
        <w:rPr>
          <w:vertAlign w:val="superscript"/>
          <w:lang w:val="fr-FR"/>
        </w:rPr>
        <w:t>o</w:t>
      </w:r>
      <w:r w:rsidR="00544688" w:rsidRPr="00844541">
        <w:rPr>
          <w:lang w:val="fr-FR"/>
        </w:rPr>
        <w:t xml:space="preserve"> 182/2005</w:t>
      </w:r>
      <w:r w:rsidR="001767E7" w:rsidRPr="00844541">
        <w:rPr>
          <w:lang w:val="fr-FR"/>
        </w:rPr>
        <w:t xml:space="preserve">. Selon le décret ainsi modifié, </w:t>
      </w:r>
      <w:r w:rsidR="00C31C4E" w:rsidRPr="00844541">
        <w:rPr>
          <w:lang w:val="fr-FR"/>
        </w:rPr>
        <w:t xml:space="preserve">en cas de désaccord entre </w:t>
      </w:r>
      <w:r w:rsidR="00544688" w:rsidRPr="00844541">
        <w:rPr>
          <w:lang w:val="fr-FR"/>
        </w:rPr>
        <w:t xml:space="preserve">les représentants cléricaux des deux cultes religieux au sein de la commission mixte, la partie </w:t>
      </w:r>
      <w:r w:rsidR="00547ED6" w:rsidRPr="00844541">
        <w:rPr>
          <w:lang w:val="fr-FR"/>
        </w:rPr>
        <w:t xml:space="preserve">ayant un </w:t>
      </w:r>
      <w:r w:rsidR="00547ED6" w:rsidRPr="00844541">
        <w:rPr>
          <w:lang w:val="fr-FR"/>
        </w:rPr>
        <w:lastRenderedPageBreak/>
        <w:t>intérêt à agir</w:t>
      </w:r>
      <w:r w:rsidR="0087100F" w:rsidRPr="00844541">
        <w:rPr>
          <w:lang w:val="fr-FR"/>
        </w:rPr>
        <w:t xml:space="preserve"> </w:t>
      </w:r>
      <w:r w:rsidR="00544688" w:rsidRPr="00844541">
        <w:rPr>
          <w:lang w:val="fr-FR"/>
        </w:rPr>
        <w:t xml:space="preserve">pouvait introduire une action en justice </w:t>
      </w:r>
      <w:r w:rsidR="001767E7" w:rsidRPr="00844541">
        <w:rPr>
          <w:lang w:val="fr-FR"/>
        </w:rPr>
        <w:t>fondée sur le</w:t>
      </w:r>
      <w:r w:rsidR="00544688" w:rsidRPr="00844541">
        <w:rPr>
          <w:lang w:val="fr-FR"/>
        </w:rPr>
        <w:t xml:space="preserve"> droit commun</w:t>
      </w:r>
      <w:r w:rsidR="008C0E6B" w:rsidRPr="00844541">
        <w:rPr>
          <w:lang w:val="fr-FR"/>
        </w:rPr>
        <w:t xml:space="preserve"> (paragraphe </w:t>
      </w:r>
      <w:r w:rsidR="008C0E6B" w:rsidRPr="00844541">
        <w:fldChar w:fldCharType="begin"/>
      </w:r>
      <w:r w:rsidR="008C0E6B" w:rsidRPr="00844541">
        <w:rPr>
          <w:lang w:val="fr-FR"/>
        </w:rPr>
        <w:instrText xml:space="preserve"> REF P38 \h </w:instrText>
      </w:r>
      <w:r w:rsidR="003428ED" w:rsidRPr="00844541">
        <w:rPr>
          <w:lang w:val="fr-FR"/>
        </w:rPr>
        <w:instrText xml:space="preserve"> \* MERGEFORMAT </w:instrText>
      </w:r>
      <w:r w:rsidR="008C0E6B" w:rsidRPr="00844541">
        <w:fldChar w:fldCharType="separate"/>
      </w:r>
      <w:r w:rsidR="00767866">
        <w:rPr>
          <w:noProof/>
          <w:lang w:val="fr-FR"/>
        </w:rPr>
        <w:t>40</w:t>
      </w:r>
      <w:r w:rsidR="008C0E6B" w:rsidRPr="00844541">
        <w:fldChar w:fldCharType="end"/>
      </w:r>
      <w:r w:rsidR="008C0E6B" w:rsidRPr="00844541">
        <w:rPr>
          <w:lang w:val="fr-FR"/>
        </w:rPr>
        <w:t xml:space="preserve"> ci-dessous)</w:t>
      </w:r>
      <w:r w:rsidR="00544688" w:rsidRPr="00844541">
        <w:rPr>
          <w:lang w:val="fr-FR"/>
        </w:rPr>
        <w:t>.</w:t>
      </w:r>
    </w:p>
    <w:p w:rsidR="00544688" w:rsidRPr="00844541" w:rsidRDefault="006832E3" w:rsidP="00844541">
      <w:pPr>
        <w:pStyle w:val="ECHRHeading3"/>
      </w:pPr>
      <w:r w:rsidRPr="00844541">
        <w:t>2</w:t>
      </w:r>
      <w:r w:rsidR="00544688" w:rsidRPr="00844541">
        <w:t>.</w:t>
      </w:r>
      <w:r w:rsidR="00EF6162" w:rsidRPr="00844541">
        <w:t>  </w:t>
      </w:r>
      <w:r w:rsidR="00544688" w:rsidRPr="00844541">
        <w:t>La situation juridique des requérants et de leur église</w:t>
      </w:r>
    </w:p>
    <w:bookmarkStart w:id="4" w:name="P1"/>
    <w:p w:rsidR="00B43D08" w:rsidRPr="00844541" w:rsidRDefault="0054468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12</w:t>
      </w:r>
      <w:r w:rsidRPr="00844541">
        <w:fldChar w:fldCharType="end"/>
      </w:r>
      <w:bookmarkEnd w:id="4"/>
      <w:r w:rsidRPr="00844541">
        <w:rPr>
          <w:lang w:val="fr-FR"/>
        </w:rPr>
        <w:t>.  </w:t>
      </w:r>
      <w:r w:rsidR="0087100F" w:rsidRPr="00844541">
        <w:rPr>
          <w:lang w:val="fr-FR"/>
        </w:rPr>
        <w:t>L</w:t>
      </w:r>
      <w:r w:rsidRPr="00844541">
        <w:rPr>
          <w:lang w:val="fr-FR"/>
        </w:rPr>
        <w:t xml:space="preserve">es requérants </w:t>
      </w:r>
      <w:r w:rsidR="0087100F" w:rsidRPr="00844541">
        <w:rPr>
          <w:lang w:val="fr-FR"/>
        </w:rPr>
        <w:t xml:space="preserve">ont été </w:t>
      </w:r>
      <w:r w:rsidRPr="00844541">
        <w:rPr>
          <w:lang w:val="fr-FR"/>
        </w:rPr>
        <w:t>dissous</w:t>
      </w:r>
      <w:r w:rsidR="0087100F" w:rsidRPr="00844541">
        <w:rPr>
          <w:lang w:val="fr-FR"/>
        </w:rPr>
        <w:t xml:space="preserve"> sur le fondement du décret-loi n</w:t>
      </w:r>
      <w:r w:rsidR="0087100F" w:rsidRPr="00844541">
        <w:rPr>
          <w:vertAlign w:val="superscript"/>
          <w:lang w:val="fr-FR"/>
        </w:rPr>
        <w:t>o</w:t>
      </w:r>
      <w:r w:rsidR="0087100F" w:rsidRPr="00844541">
        <w:rPr>
          <w:lang w:val="fr-FR"/>
        </w:rPr>
        <w:t> 358/1948</w:t>
      </w:r>
      <w:r w:rsidRPr="00844541">
        <w:rPr>
          <w:lang w:val="fr-FR"/>
        </w:rPr>
        <w:t>. En 1967, l</w:t>
      </w:r>
      <w:r w:rsidR="00844541">
        <w:rPr>
          <w:lang w:val="fr-FR"/>
        </w:rPr>
        <w:t>’</w:t>
      </w:r>
      <w:r w:rsidRPr="00844541">
        <w:rPr>
          <w:lang w:val="fr-FR"/>
        </w:rPr>
        <w:t xml:space="preserve">église et </w:t>
      </w:r>
      <w:r w:rsidR="00042A5E" w:rsidRPr="00844541">
        <w:rPr>
          <w:lang w:val="fr-FR"/>
        </w:rPr>
        <w:t>l</w:t>
      </w:r>
      <w:r w:rsidRPr="00844541">
        <w:rPr>
          <w:lang w:val="fr-FR"/>
        </w:rPr>
        <w:t xml:space="preserve">a cour </w:t>
      </w:r>
      <w:r w:rsidR="00042A5E" w:rsidRPr="00844541">
        <w:rPr>
          <w:lang w:val="fr-FR"/>
        </w:rPr>
        <w:t xml:space="preserve">attenante </w:t>
      </w:r>
      <w:r w:rsidRPr="00844541">
        <w:rPr>
          <w:lang w:val="fr-FR"/>
        </w:rPr>
        <w:t xml:space="preserve">ayant appartenu à la paroisse requérante </w:t>
      </w:r>
      <w:r w:rsidR="005E5A46" w:rsidRPr="00844541">
        <w:rPr>
          <w:lang w:val="fr-FR"/>
        </w:rPr>
        <w:t xml:space="preserve">ont été </w:t>
      </w:r>
      <w:r w:rsidRPr="00844541">
        <w:rPr>
          <w:lang w:val="fr-FR"/>
        </w:rPr>
        <w:t>trans</w:t>
      </w:r>
      <w:r w:rsidR="0036567B" w:rsidRPr="00844541">
        <w:rPr>
          <w:lang w:val="fr-FR"/>
        </w:rPr>
        <w:t>férées</w:t>
      </w:r>
      <w:r w:rsidRPr="00844541">
        <w:rPr>
          <w:lang w:val="fr-FR"/>
        </w:rPr>
        <w:t xml:space="preserve"> sur le livre foncier dans la p</w:t>
      </w:r>
      <w:r w:rsidR="00E1134E" w:rsidRPr="00844541">
        <w:rPr>
          <w:lang w:val="fr-FR"/>
        </w:rPr>
        <w:t>ropriété de l</w:t>
      </w:r>
      <w:r w:rsidR="00844541">
        <w:rPr>
          <w:lang w:val="fr-FR"/>
        </w:rPr>
        <w:t>’</w:t>
      </w:r>
      <w:r w:rsidR="005E5A46" w:rsidRPr="00844541">
        <w:rPr>
          <w:lang w:val="fr-FR"/>
        </w:rPr>
        <w:t>É</w:t>
      </w:r>
      <w:r w:rsidR="00E1134E" w:rsidRPr="00844541">
        <w:rPr>
          <w:lang w:val="fr-FR"/>
        </w:rPr>
        <w:t xml:space="preserve">glise orthodoxe </w:t>
      </w:r>
      <w:r w:rsidRPr="00844541">
        <w:rPr>
          <w:lang w:val="fr-FR"/>
        </w:rPr>
        <w:t>roumaine de Lupeni I.</w:t>
      </w:r>
    </w:p>
    <w:p w:rsidR="00544688"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13</w:t>
      </w:r>
      <w:r w:rsidRPr="00844541">
        <w:rPr>
          <w:noProof/>
        </w:rPr>
        <w:fldChar w:fldCharType="end"/>
      </w:r>
      <w:r w:rsidR="00544688" w:rsidRPr="00844541">
        <w:rPr>
          <w:lang w:val="fr-FR"/>
        </w:rPr>
        <w:t xml:space="preserve">.  La paroisse requérante </w:t>
      </w:r>
      <w:r w:rsidR="005E5A46" w:rsidRPr="00844541">
        <w:rPr>
          <w:lang w:val="fr-FR"/>
        </w:rPr>
        <w:t>a été</w:t>
      </w:r>
      <w:r w:rsidR="00544688" w:rsidRPr="00844541">
        <w:rPr>
          <w:lang w:val="fr-FR"/>
        </w:rPr>
        <w:t xml:space="preserve"> légalement reconstituée le 12 août 1996. Elle relève de l</w:t>
      </w:r>
      <w:r w:rsidR="00844541">
        <w:rPr>
          <w:lang w:val="fr-FR"/>
        </w:rPr>
        <w:t>’</w:t>
      </w:r>
      <w:r w:rsidR="00EA71E8" w:rsidRPr="00844541">
        <w:rPr>
          <w:lang w:val="fr-FR"/>
        </w:rPr>
        <w:t>Évêché</w:t>
      </w:r>
      <w:r w:rsidR="00544688" w:rsidRPr="00844541">
        <w:rPr>
          <w:lang w:val="fr-FR"/>
        </w:rPr>
        <w:t xml:space="preserve"> gréco</w:t>
      </w:r>
      <w:r w:rsidR="00AE17FD" w:rsidRPr="00844541">
        <w:rPr>
          <w:lang w:val="fr-FR"/>
        </w:rPr>
        <w:t>-</w:t>
      </w:r>
      <w:r w:rsidR="00544688" w:rsidRPr="00844541">
        <w:rPr>
          <w:lang w:val="fr-FR"/>
        </w:rPr>
        <w:t xml:space="preserve">catholique de Lugoj (le deuxième requérant) et de </w:t>
      </w:r>
      <w:r w:rsidR="0064636B" w:rsidRPr="00844541">
        <w:rPr>
          <w:lang w:val="fr-FR"/>
        </w:rPr>
        <w:t>l</w:t>
      </w:r>
      <w:r w:rsidR="00844541">
        <w:rPr>
          <w:lang w:val="fr-FR"/>
        </w:rPr>
        <w:t>’</w:t>
      </w:r>
      <w:r w:rsidR="0064636B" w:rsidRPr="00844541">
        <w:rPr>
          <w:lang w:val="fr-FR"/>
        </w:rPr>
        <w:t xml:space="preserve">Archiprêtré </w:t>
      </w:r>
      <w:r w:rsidR="00CA6BA5" w:rsidRPr="00844541">
        <w:rPr>
          <w:lang w:val="fr-FR"/>
        </w:rPr>
        <w:t xml:space="preserve">gréco-catholique </w:t>
      </w:r>
      <w:r w:rsidR="00544688" w:rsidRPr="00844541">
        <w:rPr>
          <w:lang w:val="fr-FR"/>
        </w:rPr>
        <w:t>de Lupeni (le troisième requérant). Les requérants entamèrent des démarches pour obtenir la restitution de l</w:t>
      </w:r>
      <w:r w:rsidR="00844541">
        <w:rPr>
          <w:lang w:val="fr-FR"/>
        </w:rPr>
        <w:t>’</w:t>
      </w:r>
      <w:r w:rsidR="00544688" w:rsidRPr="00844541">
        <w:rPr>
          <w:lang w:val="fr-FR"/>
        </w:rPr>
        <w:t>église</w:t>
      </w:r>
      <w:r w:rsidR="005E5A46" w:rsidRPr="00844541">
        <w:rPr>
          <w:lang w:val="fr-FR"/>
        </w:rPr>
        <w:t xml:space="preserve"> et </w:t>
      </w:r>
      <w:r w:rsidR="009F376A" w:rsidRPr="00844541">
        <w:rPr>
          <w:lang w:val="fr-FR"/>
        </w:rPr>
        <w:t>de la cour attenante</w:t>
      </w:r>
      <w:r w:rsidR="00544688" w:rsidRPr="00844541">
        <w:rPr>
          <w:lang w:val="fr-FR"/>
        </w:rPr>
        <w:t>.</w:t>
      </w:r>
    </w:p>
    <w:p w:rsidR="00544688" w:rsidRPr="00844541" w:rsidRDefault="006832E3" w:rsidP="00844541">
      <w:pPr>
        <w:pStyle w:val="ECHRHeading2"/>
        <w:rPr>
          <w:rStyle w:val="Accentuation"/>
          <w:b/>
          <w:bCs/>
          <w:i w:val="0"/>
          <w:iCs w:val="0"/>
          <w:spacing w:val="0"/>
        </w:rPr>
      </w:pPr>
      <w:r w:rsidRPr="00844541">
        <w:rPr>
          <w:rStyle w:val="Accentuation"/>
          <w:b/>
          <w:bCs/>
          <w:i w:val="0"/>
          <w:iCs w:val="0"/>
          <w:spacing w:val="0"/>
        </w:rPr>
        <w:t>B</w:t>
      </w:r>
      <w:r w:rsidR="00544688" w:rsidRPr="00844541">
        <w:rPr>
          <w:rStyle w:val="Accentuation"/>
          <w:b/>
          <w:bCs/>
          <w:i w:val="0"/>
          <w:iCs w:val="0"/>
          <w:spacing w:val="0"/>
        </w:rPr>
        <w:t>.</w:t>
      </w:r>
      <w:r w:rsidR="00EF6162" w:rsidRPr="00844541">
        <w:rPr>
          <w:rStyle w:val="Accentuation"/>
          <w:b/>
          <w:bCs/>
          <w:i w:val="0"/>
          <w:iCs w:val="0"/>
          <w:spacing w:val="0"/>
        </w:rPr>
        <w:t>  </w:t>
      </w:r>
      <w:r w:rsidR="00544688" w:rsidRPr="00844541">
        <w:rPr>
          <w:rStyle w:val="Accentuation"/>
          <w:b/>
          <w:bCs/>
          <w:i w:val="0"/>
          <w:iCs w:val="0"/>
          <w:spacing w:val="0"/>
        </w:rPr>
        <w:t xml:space="preserve">Les démarches menées </w:t>
      </w:r>
      <w:r w:rsidR="00544688" w:rsidRPr="00844541">
        <w:t>e</w:t>
      </w:r>
      <w:r w:rsidR="00544688" w:rsidRPr="00844541">
        <w:rPr>
          <w:rStyle w:val="Accentuation"/>
          <w:b/>
          <w:bCs/>
          <w:i w:val="0"/>
          <w:iCs w:val="0"/>
          <w:spacing w:val="0"/>
        </w:rPr>
        <w:t>ntre l</w:t>
      </w:r>
      <w:r w:rsidR="00844541">
        <w:rPr>
          <w:rStyle w:val="Accentuation"/>
          <w:b/>
          <w:bCs/>
          <w:i w:val="0"/>
          <w:iCs w:val="0"/>
          <w:spacing w:val="0"/>
        </w:rPr>
        <w:t>’</w:t>
      </w:r>
      <w:r w:rsidR="00544688" w:rsidRPr="00844541">
        <w:rPr>
          <w:rStyle w:val="Accentuation"/>
          <w:b/>
          <w:bCs/>
          <w:i w:val="0"/>
          <w:iCs w:val="0"/>
          <w:spacing w:val="0"/>
        </w:rPr>
        <w:t>Église orthodoxe roumaine et l</w:t>
      </w:r>
      <w:r w:rsidR="00844541">
        <w:rPr>
          <w:rStyle w:val="Accentuation"/>
          <w:b/>
          <w:bCs/>
          <w:i w:val="0"/>
          <w:iCs w:val="0"/>
          <w:spacing w:val="0"/>
        </w:rPr>
        <w:t>’</w:t>
      </w:r>
      <w:r w:rsidR="00544688" w:rsidRPr="00844541">
        <w:rPr>
          <w:rStyle w:val="Accentuation"/>
          <w:b/>
          <w:bCs/>
          <w:i w:val="0"/>
          <w:iCs w:val="0"/>
          <w:spacing w:val="0"/>
        </w:rPr>
        <w:t>Église gréco</w:t>
      </w:r>
      <w:r w:rsidR="00AE17FD" w:rsidRPr="00844541">
        <w:rPr>
          <w:rStyle w:val="Accentuation"/>
          <w:b/>
          <w:bCs/>
          <w:i w:val="0"/>
          <w:iCs w:val="0"/>
          <w:spacing w:val="0"/>
        </w:rPr>
        <w:t>-</w:t>
      </w:r>
      <w:r w:rsidR="00544688" w:rsidRPr="00844541">
        <w:rPr>
          <w:rStyle w:val="Accentuation"/>
          <w:b/>
          <w:bCs/>
          <w:i w:val="0"/>
          <w:iCs w:val="0"/>
          <w:spacing w:val="0"/>
        </w:rPr>
        <w:t>catholique</w:t>
      </w:r>
      <w:r w:rsidR="005E5A46" w:rsidRPr="00844541">
        <w:rPr>
          <w:rStyle w:val="Accentuation"/>
          <w:b/>
          <w:bCs/>
          <w:i w:val="0"/>
          <w:iCs w:val="0"/>
          <w:spacing w:val="0"/>
        </w:rPr>
        <w:t xml:space="preserve"> en vue d</w:t>
      </w:r>
      <w:r w:rsidR="00844541">
        <w:rPr>
          <w:rStyle w:val="Accentuation"/>
          <w:b/>
          <w:bCs/>
          <w:i w:val="0"/>
          <w:iCs w:val="0"/>
          <w:spacing w:val="0"/>
        </w:rPr>
        <w:t>’</w:t>
      </w:r>
      <w:r w:rsidR="005E5A46" w:rsidRPr="00844541">
        <w:rPr>
          <w:rStyle w:val="Accentuation"/>
          <w:b/>
          <w:bCs/>
          <w:i w:val="0"/>
          <w:iCs w:val="0"/>
          <w:spacing w:val="0"/>
        </w:rPr>
        <w:t>un règlement amiable</w:t>
      </w:r>
    </w:p>
    <w:p w:rsidR="00544688" w:rsidRPr="00844541" w:rsidRDefault="0071380B" w:rsidP="00844541">
      <w:pPr>
        <w:pStyle w:val="ECHRHeading3"/>
      </w:pPr>
      <w:r w:rsidRPr="00844541">
        <w:t>1.</w:t>
      </w:r>
      <w:r w:rsidR="00EF6162" w:rsidRPr="00844541">
        <w:t>  </w:t>
      </w:r>
      <w:r w:rsidR="00544688" w:rsidRPr="00844541">
        <w:t>Les réunions de la commission mixte</w:t>
      </w:r>
    </w:p>
    <w:p w:rsidR="00B43D08" w:rsidRPr="00844541" w:rsidRDefault="00AA632A" w:rsidP="00844541">
      <w:pPr>
        <w:pStyle w:val="ECHRPara"/>
        <w:rPr>
          <w:rStyle w:val="Accentuation"/>
          <w:b w:val="0"/>
          <w:bCs w:val="0"/>
          <w:i w:val="0"/>
          <w:iCs w:val="0"/>
          <w:spacing w:val="0"/>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14</w:t>
      </w:r>
      <w:r w:rsidRPr="00844541">
        <w:rPr>
          <w:noProof/>
        </w:rPr>
        <w:fldChar w:fldCharType="end"/>
      </w:r>
      <w:r w:rsidR="00544688" w:rsidRPr="00844541">
        <w:rPr>
          <w:lang w:val="fr-FR"/>
        </w:rPr>
        <w:t>.  L</w:t>
      </w:r>
      <w:r w:rsidR="00844541">
        <w:rPr>
          <w:lang w:val="fr-FR"/>
        </w:rPr>
        <w:t>’</w:t>
      </w:r>
      <w:r w:rsidR="00F54B9B" w:rsidRPr="00844541">
        <w:rPr>
          <w:lang w:val="fr-FR"/>
        </w:rPr>
        <w:t>Église</w:t>
      </w:r>
      <w:r w:rsidR="00544688" w:rsidRPr="00844541">
        <w:rPr>
          <w:lang w:val="fr-FR"/>
        </w:rPr>
        <w:t xml:space="preserve"> orthodoxe et l</w:t>
      </w:r>
      <w:r w:rsidR="00844541">
        <w:rPr>
          <w:lang w:val="fr-FR"/>
        </w:rPr>
        <w:t>’</w:t>
      </w:r>
      <w:r w:rsidR="00F54B9B" w:rsidRPr="00844541">
        <w:rPr>
          <w:lang w:val="fr-FR"/>
        </w:rPr>
        <w:t>Église</w:t>
      </w:r>
      <w:r w:rsidR="00544688" w:rsidRPr="00844541">
        <w:rPr>
          <w:lang w:val="fr-FR"/>
        </w:rPr>
        <w:t xml:space="preserve"> gréco</w:t>
      </w:r>
      <w:r w:rsidR="00AE17FD" w:rsidRPr="00844541">
        <w:rPr>
          <w:lang w:val="fr-FR"/>
        </w:rPr>
        <w:t>-</w:t>
      </w:r>
      <w:r w:rsidR="00544688" w:rsidRPr="00844541">
        <w:rPr>
          <w:lang w:val="fr-FR"/>
        </w:rPr>
        <w:t>catholique organisèrent des réunions dans le cadre d</w:t>
      </w:r>
      <w:r w:rsidR="00844541">
        <w:rPr>
          <w:lang w:val="fr-FR"/>
        </w:rPr>
        <w:t>’</w:t>
      </w:r>
      <w:r w:rsidR="00544688" w:rsidRPr="00844541">
        <w:rPr>
          <w:lang w:val="fr-FR"/>
        </w:rPr>
        <w:t xml:space="preserve">une commission mixte composée des hauts représentants des deux </w:t>
      </w:r>
      <w:r w:rsidR="000E1EB7" w:rsidRPr="00844541">
        <w:rPr>
          <w:lang w:val="fr-FR"/>
        </w:rPr>
        <w:t>Églises</w:t>
      </w:r>
      <w:r w:rsidR="00544688" w:rsidRPr="00844541">
        <w:rPr>
          <w:lang w:val="fr-FR"/>
        </w:rPr>
        <w:t xml:space="preserve"> pour </w:t>
      </w:r>
      <w:r w:rsidR="006B076F" w:rsidRPr="00844541">
        <w:rPr>
          <w:lang w:val="fr-FR"/>
        </w:rPr>
        <w:t>trancher le</w:t>
      </w:r>
      <w:r w:rsidR="00544688" w:rsidRPr="00844541">
        <w:rPr>
          <w:lang w:val="fr-FR"/>
        </w:rPr>
        <w:t xml:space="preserve"> sort des églises ayant appartenu au culte gréco</w:t>
      </w:r>
      <w:r w:rsidR="00AE17FD" w:rsidRPr="00844541">
        <w:rPr>
          <w:lang w:val="fr-FR"/>
        </w:rPr>
        <w:t>-</w:t>
      </w:r>
      <w:r w:rsidR="00544688" w:rsidRPr="00844541">
        <w:rPr>
          <w:lang w:val="fr-FR"/>
        </w:rPr>
        <w:t>catholique. De 1998 à 2003, la commission mixte s</w:t>
      </w:r>
      <w:r w:rsidR="00700B45" w:rsidRPr="00844541">
        <w:rPr>
          <w:lang w:val="fr-FR"/>
        </w:rPr>
        <w:t>e</w:t>
      </w:r>
      <w:r w:rsidR="00544688" w:rsidRPr="00844541">
        <w:rPr>
          <w:lang w:val="fr-FR"/>
        </w:rPr>
        <w:t xml:space="preserve"> réuni</w:t>
      </w:r>
      <w:r w:rsidR="00700B45" w:rsidRPr="00844541">
        <w:rPr>
          <w:lang w:val="fr-FR"/>
        </w:rPr>
        <w:t>t</w:t>
      </w:r>
      <w:r w:rsidR="00544688" w:rsidRPr="00844541">
        <w:rPr>
          <w:lang w:val="fr-FR"/>
        </w:rPr>
        <w:t xml:space="preserve"> sept fois. L</w:t>
      </w:r>
      <w:r w:rsidR="00544688" w:rsidRPr="00844541">
        <w:rPr>
          <w:rStyle w:val="Accentuation"/>
          <w:b w:val="0"/>
          <w:bCs w:val="0"/>
          <w:i w:val="0"/>
          <w:iCs w:val="0"/>
          <w:spacing w:val="0"/>
          <w:lang w:val="fr-FR"/>
        </w:rPr>
        <w:t xml:space="preserve">a partie </w:t>
      </w:r>
      <w:r w:rsidR="00544688" w:rsidRPr="00844541">
        <w:rPr>
          <w:lang w:val="fr-FR"/>
        </w:rPr>
        <w:t>gréco</w:t>
      </w:r>
      <w:r w:rsidR="00AE17FD" w:rsidRPr="00844541">
        <w:rPr>
          <w:lang w:val="fr-FR"/>
        </w:rPr>
        <w:t>-</w:t>
      </w:r>
      <w:r w:rsidR="00544688" w:rsidRPr="00844541">
        <w:rPr>
          <w:lang w:val="fr-FR"/>
        </w:rPr>
        <w:t>catholique présenta une liste des églises qu</w:t>
      </w:r>
      <w:r w:rsidR="00844541">
        <w:rPr>
          <w:lang w:val="fr-FR"/>
        </w:rPr>
        <w:t>’</w:t>
      </w:r>
      <w:r w:rsidR="00544688" w:rsidRPr="00844541">
        <w:rPr>
          <w:lang w:val="fr-FR"/>
        </w:rPr>
        <w:t>elle revendiqu</w:t>
      </w:r>
      <w:r w:rsidR="005052B8" w:rsidRPr="00844541">
        <w:rPr>
          <w:lang w:val="fr-FR"/>
        </w:rPr>
        <w:t>ait</w:t>
      </w:r>
      <w:r w:rsidR="00544688" w:rsidRPr="00844541">
        <w:rPr>
          <w:lang w:val="fr-FR"/>
        </w:rPr>
        <w:t xml:space="preserve">, </w:t>
      </w:r>
      <w:r w:rsidR="006B076F" w:rsidRPr="00844541">
        <w:rPr>
          <w:lang w:val="fr-FR"/>
        </w:rPr>
        <w:t>dont</w:t>
      </w:r>
      <w:r w:rsidR="00544688" w:rsidRPr="00844541">
        <w:rPr>
          <w:lang w:val="fr-FR"/>
        </w:rPr>
        <w:t xml:space="preserve"> celle de la paroisse requérante. Elle </w:t>
      </w:r>
      <w:r w:rsidR="00544688" w:rsidRPr="00844541">
        <w:rPr>
          <w:rStyle w:val="Accentuation"/>
          <w:b w:val="0"/>
          <w:bCs w:val="0"/>
          <w:i w:val="0"/>
          <w:iCs w:val="0"/>
          <w:spacing w:val="0"/>
          <w:lang w:val="fr-FR"/>
        </w:rPr>
        <w:t xml:space="preserve">proposa également une solution amiable : </w:t>
      </w:r>
      <w:r w:rsidR="001767E7" w:rsidRPr="00844541">
        <w:rPr>
          <w:rStyle w:val="Accentuation"/>
          <w:b w:val="0"/>
          <w:bCs w:val="0"/>
          <w:i w:val="0"/>
          <w:iCs w:val="0"/>
          <w:spacing w:val="0"/>
          <w:lang w:val="fr-FR"/>
        </w:rPr>
        <w:t xml:space="preserve">elle préconisait que, </w:t>
      </w:r>
      <w:r w:rsidR="00544688" w:rsidRPr="00844541">
        <w:rPr>
          <w:rStyle w:val="Accentuation"/>
          <w:b w:val="0"/>
          <w:bCs w:val="0"/>
          <w:i w:val="0"/>
          <w:iCs w:val="0"/>
          <w:spacing w:val="0"/>
          <w:lang w:val="fr-FR"/>
        </w:rPr>
        <w:t>dans les communes o</w:t>
      </w:r>
      <w:r w:rsidR="00544688" w:rsidRPr="00844541">
        <w:rPr>
          <w:lang w:val="fr-FR"/>
        </w:rPr>
        <w:t>ù</w:t>
      </w:r>
      <w:r w:rsidR="00544688" w:rsidRPr="00844541">
        <w:rPr>
          <w:rStyle w:val="Accentuation"/>
          <w:b w:val="0"/>
          <w:bCs w:val="0"/>
          <w:i w:val="0"/>
          <w:iCs w:val="0"/>
          <w:spacing w:val="0"/>
          <w:lang w:val="fr-FR"/>
        </w:rPr>
        <w:t xml:space="preserve"> il y avait deux églises, l</w:t>
      </w:r>
      <w:r w:rsidR="00844541">
        <w:rPr>
          <w:rStyle w:val="Accentuation"/>
          <w:b w:val="0"/>
          <w:bCs w:val="0"/>
          <w:i w:val="0"/>
          <w:iCs w:val="0"/>
          <w:spacing w:val="0"/>
          <w:lang w:val="fr-FR"/>
        </w:rPr>
        <w:t>’</w:t>
      </w:r>
      <w:r w:rsidR="00544688" w:rsidRPr="00844541">
        <w:rPr>
          <w:rStyle w:val="Accentuation"/>
          <w:b w:val="0"/>
          <w:bCs w:val="0"/>
          <w:i w:val="0"/>
          <w:iCs w:val="0"/>
          <w:spacing w:val="0"/>
          <w:lang w:val="fr-FR"/>
        </w:rPr>
        <w:t>une d</w:t>
      </w:r>
      <w:r w:rsidR="00844541">
        <w:rPr>
          <w:rStyle w:val="Accentuation"/>
          <w:b w:val="0"/>
          <w:bCs w:val="0"/>
          <w:i w:val="0"/>
          <w:iCs w:val="0"/>
          <w:spacing w:val="0"/>
          <w:lang w:val="fr-FR"/>
        </w:rPr>
        <w:t>’</w:t>
      </w:r>
      <w:r w:rsidR="00544688" w:rsidRPr="00844541">
        <w:rPr>
          <w:rStyle w:val="Accentuation"/>
          <w:b w:val="0"/>
          <w:bCs w:val="0"/>
          <w:i w:val="0"/>
          <w:iCs w:val="0"/>
          <w:spacing w:val="0"/>
          <w:lang w:val="fr-FR"/>
        </w:rPr>
        <w:t xml:space="preserve">entre elles </w:t>
      </w:r>
      <w:r w:rsidR="001767E7" w:rsidRPr="00844541">
        <w:rPr>
          <w:rStyle w:val="Accentuation"/>
          <w:b w:val="0"/>
          <w:bCs w:val="0"/>
          <w:i w:val="0"/>
          <w:iCs w:val="0"/>
          <w:spacing w:val="0"/>
          <w:lang w:val="fr-FR"/>
        </w:rPr>
        <w:t>fût</w:t>
      </w:r>
      <w:r w:rsidR="00544688" w:rsidRPr="00844541">
        <w:rPr>
          <w:rStyle w:val="Accentuation"/>
          <w:b w:val="0"/>
          <w:bCs w:val="0"/>
          <w:i w:val="0"/>
          <w:iCs w:val="0"/>
          <w:spacing w:val="0"/>
          <w:lang w:val="fr-FR"/>
        </w:rPr>
        <w:t xml:space="preserve"> restituée, et</w:t>
      </w:r>
      <w:r w:rsidR="001767E7" w:rsidRPr="00844541">
        <w:rPr>
          <w:rStyle w:val="Accentuation"/>
          <w:b w:val="0"/>
          <w:bCs w:val="0"/>
          <w:i w:val="0"/>
          <w:iCs w:val="0"/>
          <w:spacing w:val="0"/>
          <w:lang w:val="fr-FR"/>
        </w:rPr>
        <w:t xml:space="preserve"> que,</w:t>
      </w:r>
      <w:r w:rsidR="00544688" w:rsidRPr="00844541">
        <w:rPr>
          <w:rStyle w:val="Accentuation"/>
          <w:b w:val="0"/>
          <w:bCs w:val="0"/>
          <w:i w:val="0"/>
          <w:iCs w:val="0"/>
          <w:spacing w:val="0"/>
          <w:lang w:val="fr-FR"/>
        </w:rPr>
        <w:t xml:space="preserve"> dans les communes o</w:t>
      </w:r>
      <w:r w:rsidR="00544688" w:rsidRPr="00844541">
        <w:rPr>
          <w:lang w:val="fr-FR"/>
        </w:rPr>
        <w:t>ù</w:t>
      </w:r>
      <w:r w:rsidR="00544688" w:rsidRPr="00844541">
        <w:rPr>
          <w:rStyle w:val="Accentuation"/>
          <w:b w:val="0"/>
          <w:bCs w:val="0"/>
          <w:i w:val="0"/>
          <w:iCs w:val="0"/>
          <w:spacing w:val="0"/>
          <w:lang w:val="fr-FR"/>
        </w:rPr>
        <w:t xml:space="preserve"> existai</w:t>
      </w:r>
      <w:r w:rsidR="006B076F" w:rsidRPr="00844541">
        <w:rPr>
          <w:rStyle w:val="Accentuation"/>
          <w:b w:val="0"/>
          <w:bCs w:val="0"/>
          <w:i w:val="0"/>
          <w:iCs w:val="0"/>
          <w:spacing w:val="0"/>
          <w:lang w:val="fr-FR"/>
        </w:rPr>
        <w:t>ent</w:t>
      </w:r>
      <w:r w:rsidR="00544688" w:rsidRPr="00844541">
        <w:rPr>
          <w:rStyle w:val="Accentuation"/>
          <w:b w:val="0"/>
          <w:bCs w:val="0"/>
          <w:i w:val="0"/>
          <w:iCs w:val="0"/>
          <w:spacing w:val="0"/>
          <w:lang w:val="fr-FR"/>
        </w:rPr>
        <w:t xml:space="preserve"> une seule église et deux communautés religieuses, un service religieux </w:t>
      </w:r>
      <w:r w:rsidR="001767E7" w:rsidRPr="00844541">
        <w:rPr>
          <w:rStyle w:val="Accentuation"/>
          <w:b w:val="0"/>
          <w:bCs w:val="0"/>
          <w:i w:val="0"/>
          <w:iCs w:val="0"/>
          <w:spacing w:val="0"/>
          <w:lang w:val="fr-FR"/>
        </w:rPr>
        <w:t>fût</w:t>
      </w:r>
      <w:r w:rsidR="00544688" w:rsidRPr="00844541">
        <w:rPr>
          <w:rStyle w:val="Accentuation"/>
          <w:b w:val="0"/>
          <w:bCs w:val="0"/>
          <w:i w:val="0"/>
          <w:iCs w:val="0"/>
          <w:spacing w:val="0"/>
          <w:lang w:val="fr-FR"/>
        </w:rPr>
        <w:t xml:space="preserve"> organisé</w:t>
      </w:r>
      <w:r w:rsidR="006B076F" w:rsidRPr="00844541">
        <w:rPr>
          <w:rStyle w:val="Accentuation"/>
          <w:b w:val="0"/>
          <w:bCs w:val="0"/>
          <w:i w:val="0"/>
          <w:iCs w:val="0"/>
          <w:spacing w:val="0"/>
          <w:lang w:val="fr-FR"/>
        </w:rPr>
        <w:t xml:space="preserve"> en alternance</w:t>
      </w:r>
      <w:r w:rsidR="00544688" w:rsidRPr="00844541">
        <w:rPr>
          <w:rStyle w:val="Accentuation"/>
          <w:b w:val="0"/>
          <w:bCs w:val="0"/>
          <w:i w:val="0"/>
          <w:iCs w:val="0"/>
          <w:spacing w:val="0"/>
          <w:lang w:val="fr-FR"/>
        </w:rPr>
        <w:t>. La partie orthodoxe rejeta cette proposition.</w:t>
      </w:r>
    </w:p>
    <w:p w:rsidR="00544688" w:rsidRPr="00844541" w:rsidRDefault="00544688" w:rsidP="00844541">
      <w:pPr>
        <w:pStyle w:val="ECHRPara"/>
        <w:rPr>
          <w:rStyle w:val="Accentuation"/>
          <w:b w:val="0"/>
          <w:bCs w:val="0"/>
          <w:i w:val="0"/>
          <w:iCs w:val="0"/>
          <w:spacing w:val="0"/>
          <w:lang w:val="fr-FR"/>
        </w:rPr>
      </w:pPr>
      <w:r w:rsidRPr="00844541">
        <w:rPr>
          <w:rStyle w:val="Accentuation"/>
          <w:b w:val="0"/>
          <w:bCs w:val="0"/>
          <w:i w:val="0"/>
          <w:iCs w:val="0"/>
          <w:spacing w:val="0"/>
        </w:rPr>
        <w:fldChar w:fldCharType="begin"/>
      </w:r>
      <w:r w:rsidRPr="00844541">
        <w:rPr>
          <w:rStyle w:val="Accentuation"/>
          <w:b w:val="0"/>
          <w:bCs w:val="0"/>
          <w:i w:val="0"/>
          <w:iCs w:val="0"/>
          <w:spacing w:val="0"/>
          <w:lang w:val="fr-FR"/>
        </w:rPr>
        <w:instrText xml:space="preserve"> SEQ level0 \*arabic </w:instrText>
      </w:r>
      <w:r w:rsidRPr="00844541">
        <w:rPr>
          <w:rStyle w:val="Accentuation"/>
          <w:b w:val="0"/>
          <w:bCs w:val="0"/>
          <w:i w:val="0"/>
          <w:iCs w:val="0"/>
          <w:spacing w:val="0"/>
        </w:rPr>
        <w:fldChar w:fldCharType="separate"/>
      </w:r>
      <w:r w:rsidR="00767866">
        <w:rPr>
          <w:rStyle w:val="Accentuation"/>
          <w:b w:val="0"/>
          <w:bCs w:val="0"/>
          <w:i w:val="0"/>
          <w:iCs w:val="0"/>
          <w:noProof/>
          <w:spacing w:val="0"/>
          <w:lang w:val="fr-FR"/>
        </w:rPr>
        <w:t>15</w:t>
      </w:r>
      <w:r w:rsidRPr="00844541">
        <w:rPr>
          <w:rStyle w:val="Accentuation"/>
          <w:b w:val="0"/>
          <w:bCs w:val="0"/>
          <w:i w:val="0"/>
          <w:iCs w:val="0"/>
          <w:spacing w:val="0"/>
        </w:rPr>
        <w:fldChar w:fldCharType="end"/>
      </w:r>
      <w:r w:rsidRPr="00844541">
        <w:rPr>
          <w:rStyle w:val="Accentuation"/>
          <w:b w:val="0"/>
          <w:bCs w:val="0"/>
          <w:i w:val="0"/>
          <w:iCs w:val="0"/>
          <w:spacing w:val="0"/>
          <w:lang w:val="fr-FR"/>
        </w:rPr>
        <w:t xml:space="preserve">.  Au cours des réunions, les </w:t>
      </w:r>
      <w:r w:rsidR="005052B8" w:rsidRPr="00844541">
        <w:rPr>
          <w:rStyle w:val="Accentuation"/>
          <w:b w:val="0"/>
          <w:bCs w:val="0"/>
          <w:i w:val="0"/>
          <w:iCs w:val="0"/>
          <w:spacing w:val="0"/>
          <w:lang w:val="fr-FR"/>
        </w:rPr>
        <w:t xml:space="preserve">représentants des </w:t>
      </w:r>
      <w:r w:rsidRPr="00844541">
        <w:rPr>
          <w:rStyle w:val="Accentuation"/>
          <w:b w:val="0"/>
          <w:bCs w:val="0"/>
          <w:i w:val="0"/>
          <w:iCs w:val="0"/>
          <w:spacing w:val="0"/>
          <w:lang w:val="fr-FR"/>
        </w:rPr>
        <w:t xml:space="preserve">deux cultes constatèrent que le litige serait long et </w:t>
      </w:r>
      <w:r w:rsidR="001767E7" w:rsidRPr="00844541">
        <w:rPr>
          <w:rStyle w:val="Accentuation"/>
          <w:b w:val="0"/>
          <w:bCs w:val="0"/>
          <w:i w:val="0"/>
          <w:iCs w:val="0"/>
          <w:spacing w:val="0"/>
          <w:lang w:val="fr-FR"/>
        </w:rPr>
        <w:t xml:space="preserve">ils prônèrent </w:t>
      </w:r>
      <w:r w:rsidRPr="00844541">
        <w:rPr>
          <w:rStyle w:val="Accentuation"/>
          <w:b w:val="0"/>
          <w:bCs w:val="0"/>
          <w:i w:val="0"/>
          <w:iCs w:val="0"/>
          <w:spacing w:val="0"/>
          <w:lang w:val="fr-FR"/>
        </w:rPr>
        <w:t>le dialogue au niveau local et la construction de nouvelles églises pour les deux cultes. Lors de la dernière réunion, la partie orthodoxe refusa de restituer les biens en invoquant l</w:t>
      </w:r>
      <w:r w:rsidR="00B047E6" w:rsidRPr="00844541">
        <w:rPr>
          <w:rStyle w:val="Accentuation"/>
          <w:b w:val="0"/>
          <w:bCs w:val="0"/>
          <w:i w:val="0"/>
          <w:iCs w:val="0"/>
          <w:spacing w:val="0"/>
          <w:lang w:val="fr-FR"/>
        </w:rPr>
        <w:t>a volonté</w:t>
      </w:r>
      <w:r w:rsidRPr="00844541">
        <w:rPr>
          <w:rStyle w:val="Accentuation"/>
          <w:b w:val="0"/>
          <w:bCs w:val="0"/>
          <w:i w:val="0"/>
          <w:iCs w:val="0"/>
          <w:spacing w:val="0"/>
          <w:lang w:val="fr-FR"/>
        </w:rPr>
        <w:t xml:space="preserve"> de la majorité des </w:t>
      </w:r>
      <w:r w:rsidR="00A61FDD" w:rsidRPr="00844541">
        <w:rPr>
          <w:rStyle w:val="Accentuation"/>
          <w:b w:val="0"/>
          <w:bCs w:val="0"/>
          <w:i w:val="0"/>
          <w:iCs w:val="0"/>
          <w:spacing w:val="0"/>
          <w:lang w:val="fr-FR"/>
        </w:rPr>
        <w:t>fidèles</w:t>
      </w:r>
      <w:r w:rsidRPr="00844541">
        <w:rPr>
          <w:rStyle w:val="Accentuation"/>
          <w:b w:val="0"/>
          <w:bCs w:val="0"/>
          <w:i w:val="0"/>
          <w:iCs w:val="0"/>
          <w:spacing w:val="0"/>
          <w:lang w:val="fr-FR"/>
        </w:rPr>
        <w:t>.</w:t>
      </w:r>
    </w:p>
    <w:p w:rsidR="00544688" w:rsidRPr="00844541" w:rsidRDefault="00544688" w:rsidP="00844541">
      <w:pPr>
        <w:pStyle w:val="ECHRPara"/>
        <w:rPr>
          <w:rStyle w:val="Accentuation"/>
          <w:b w:val="0"/>
          <w:bCs w:val="0"/>
          <w:i w:val="0"/>
          <w:iCs w:val="0"/>
          <w:spacing w:val="0"/>
          <w:lang w:val="fr-FR"/>
        </w:rPr>
      </w:pPr>
      <w:r w:rsidRPr="00844541">
        <w:rPr>
          <w:rStyle w:val="Accentuation"/>
          <w:b w:val="0"/>
          <w:bCs w:val="0"/>
          <w:i w:val="0"/>
          <w:iCs w:val="0"/>
          <w:spacing w:val="0"/>
        </w:rPr>
        <w:fldChar w:fldCharType="begin"/>
      </w:r>
      <w:r w:rsidRPr="00844541">
        <w:rPr>
          <w:rStyle w:val="Accentuation"/>
          <w:b w:val="0"/>
          <w:bCs w:val="0"/>
          <w:i w:val="0"/>
          <w:iCs w:val="0"/>
          <w:spacing w:val="0"/>
          <w:lang w:val="fr-FR"/>
        </w:rPr>
        <w:instrText xml:space="preserve"> SEQ level0 \*arabic </w:instrText>
      </w:r>
      <w:r w:rsidRPr="00844541">
        <w:rPr>
          <w:rStyle w:val="Accentuation"/>
          <w:b w:val="0"/>
          <w:bCs w:val="0"/>
          <w:i w:val="0"/>
          <w:iCs w:val="0"/>
          <w:spacing w:val="0"/>
        </w:rPr>
        <w:fldChar w:fldCharType="separate"/>
      </w:r>
      <w:r w:rsidR="00767866">
        <w:rPr>
          <w:rStyle w:val="Accentuation"/>
          <w:b w:val="0"/>
          <w:bCs w:val="0"/>
          <w:i w:val="0"/>
          <w:iCs w:val="0"/>
          <w:noProof/>
          <w:spacing w:val="0"/>
          <w:lang w:val="fr-FR"/>
        </w:rPr>
        <w:t>16</w:t>
      </w:r>
      <w:r w:rsidRPr="00844541">
        <w:rPr>
          <w:rStyle w:val="Accentuation"/>
          <w:b w:val="0"/>
          <w:bCs w:val="0"/>
          <w:i w:val="0"/>
          <w:iCs w:val="0"/>
          <w:spacing w:val="0"/>
        </w:rPr>
        <w:fldChar w:fldCharType="end"/>
      </w:r>
      <w:r w:rsidRPr="00844541">
        <w:rPr>
          <w:rStyle w:val="Accentuation"/>
          <w:b w:val="0"/>
          <w:bCs w:val="0"/>
          <w:i w:val="0"/>
          <w:iCs w:val="0"/>
          <w:spacing w:val="0"/>
          <w:lang w:val="fr-FR"/>
        </w:rPr>
        <w:t xml:space="preserve">.  La paroisse requérante convoqua pour le 9 novembre 2004 une réunion au niveau local avec la paroisse orthodoxe détentrice du bien litigieux. La partie orthodoxe ne se présenta pas. </w:t>
      </w:r>
      <w:r w:rsidR="00881381" w:rsidRPr="00844541">
        <w:rPr>
          <w:rStyle w:val="Accentuation"/>
          <w:b w:val="0"/>
          <w:bCs w:val="0"/>
          <w:i w:val="0"/>
          <w:iCs w:val="0"/>
          <w:spacing w:val="0"/>
          <w:lang w:val="fr-FR"/>
        </w:rPr>
        <w:t>Elle ne se rendit pas non plus à u</w:t>
      </w:r>
      <w:r w:rsidRPr="00844541">
        <w:rPr>
          <w:rStyle w:val="Accentuation"/>
          <w:b w:val="0"/>
          <w:bCs w:val="0"/>
          <w:i w:val="0"/>
          <w:iCs w:val="0"/>
          <w:spacing w:val="0"/>
          <w:lang w:val="fr-FR"/>
        </w:rPr>
        <w:t xml:space="preserve">ne nouvelle réunion convoquée par la partie requérante pour le </w:t>
      </w:r>
      <w:r w:rsidR="00881381" w:rsidRPr="00844541">
        <w:rPr>
          <w:rStyle w:val="Accentuation"/>
          <w:b w:val="0"/>
          <w:bCs w:val="0"/>
          <w:i w:val="0"/>
          <w:iCs w:val="0"/>
          <w:spacing w:val="0"/>
          <w:lang w:val="fr-FR"/>
        </w:rPr>
        <w:t>10 </w:t>
      </w:r>
      <w:r w:rsidRPr="00844541">
        <w:rPr>
          <w:rStyle w:val="Accentuation"/>
          <w:b w:val="0"/>
          <w:bCs w:val="0"/>
          <w:i w:val="0"/>
          <w:iCs w:val="0"/>
          <w:spacing w:val="0"/>
          <w:lang w:val="fr-FR"/>
        </w:rPr>
        <w:t>juin 2006.</w:t>
      </w:r>
    </w:p>
    <w:p w:rsidR="00544688" w:rsidRPr="00844541" w:rsidRDefault="0071380B" w:rsidP="00844541">
      <w:pPr>
        <w:pStyle w:val="ECHRHeading3"/>
        <w:rPr>
          <w:rStyle w:val="Accentuation"/>
          <w:b w:val="0"/>
          <w:bCs/>
          <w:i/>
          <w:iCs w:val="0"/>
          <w:spacing w:val="0"/>
        </w:rPr>
      </w:pPr>
      <w:r w:rsidRPr="00844541">
        <w:rPr>
          <w:rStyle w:val="Accentuation"/>
          <w:b w:val="0"/>
          <w:bCs/>
          <w:i/>
          <w:iCs w:val="0"/>
          <w:spacing w:val="0"/>
        </w:rPr>
        <w:lastRenderedPageBreak/>
        <w:t>2.</w:t>
      </w:r>
      <w:r w:rsidR="00EF6162" w:rsidRPr="00844541">
        <w:rPr>
          <w:rStyle w:val="Accentuation"/>
          <w:b w:val="0"/>
          <w:bCs/>
          <w:i/>
          <w:iCs w:val="0"/>
          <w:spacing w:val="0"/>
        </w:rPr>
        <w:t>  </w:t>
      </w:r>
      <w:r w:rsidR="00544688" w:rsidRPr="00844541">
        <w:rPr>
          <w:rStyle w:val="Accentuation"/>
          <w:b w:val="0"/>
          <w:bCs/>
          <w:i/>
          <w:iCs w:val="0"/>
          <w:spacing w:val="0"/>
        </w:rPr>
        <w:t>La réunion des parties intéressées sous l</w:t>
      </w:r>
      <w:r w:rsidR="00844541">
        <w:rPr>
          <w:rStyle w:val="Accentuation"/>
          <w:b w:val="0"/>
          <w:bCs/>
          <w:i/>
          <w:iCs w:val="0"/>
          <w:spacing w:val="0"/>
        </w:rPr>
        <w:t>’</w:t>
      </w:r>
      <w:r w:rsidR="00544688" w:rsidRPr="00844541">
        <w:rPr>
          <w:rStyle w:val="Accentuation"/>
          <w:b w:val="0"/>
          <w:bCs/>
          <w:i/>
          <w:iCs w:val="0"/>
          <w:spacing w:val="0"/>
        </w:rPr>
        <w:t>égide du ministère de la Culture et des Cultes</w:t>
      </w:r>
    </w:p>
    <w:p w:rsidR="00B43D08" w:rsidRPr="00844541" w:rsidRDefault="00544688" w:rsidP="00844541">
      <w:pPr>
        <w:pStyle w:val="ECHRPara"/>
        <w:rPr>
          <w:rStyle w:val="Accentuation"/>
          <w:b w:val="0"/>
          <w:bCs w:val="0"/>
          <w:i w:val="0"/>
          <w:iCs w:val="0"/>
          <w:spacing w:val="0"/>
          <w:lang w:val="fr-FR"/>
        </w:rPr>
      </w:pPr>
      <w:r w:rsidRPr="00844541">
        <w:rPr>
          <w:rStyle w:val="Accentuation"/>
          <w:b w:val="0"/>
          <w:bCs w:val="0"/>
          <w:i w:val="0"/>
          <w:iCs w:val="0"/>
          <w:spacing w:val="0"/>
        </w:rPr>
        <w:fldChar w:fldCharType="begin"/>
      </w:r>
      <w:r w:rsidRPr="00844541">
        <w:rPr>
          <w:rStyle w:val="Accentuation"/>
          <w:b w:val="0"/>
          <w:bCs w:val="0"/>
          <w:i w:val="0"/>
          <w:iCs w:val="0"/>
          <w:spacing w:val="0"/>
          <w:lang w:val="fr-FR"/>
        </w:rPr>
        <w:instrText xml:space="preserve"> SEQ level0 \*arabic </w:instrText>
      </w:r>
      <w:r w:rsidRPr="00844541">
        <w:rPr>
          <w:rStyle w:val="Accentuation"/>
          <w:b w:val="0"/>
          <w:bCs w:val="0"/>
          <w:i w:val="0"/>
          <w:iCs w:val="0"/>
          <w:spacing w:val="0"/>
        </w:rPr>
        <w:fldChar w:fldCharType="separate"/>
      </w:r>
      <w:r w:rsidR="00767866">
        <w:rPr>
          <w:rStyle w:val="Accentuation"/>
          <w:b w:val="0"/>
          <w:bCs w:val="0"/>
          <w:i w:val="0"/>
          <w:iCs w:val="0"/>
          <w:noProof/>
          <w:spacing w:val="0"/>
          <w:lang w:val="fr-FR"/>
        </w:rPr>
        <w:t>17</w:t>
      </w:r>
      <w:r w:rsidRPr="00844541">
        <w:rPr>
          <w:rStyle w:val="Accentuation"/>
          <w:b w:val="0"/>
          <w:bCs w:val="0"/>
          <w:i w:val="0"/>
          <w:iCs w:val="0"/>
          <w:spacing w:val="0"/>
        </w:rPr>
        <w:fldChar w:fldCharType="end"/>
      </w:r>
      <w:r w:rsidRPr="00844541">
        <w:rPr>
          <w:rStyle w:val="Accentuation"/>
          <w:b w:val="0"/>
          <w:bCs w:val="0"/>
          <w:i w:val="0"/>
          <w:iCs w:val="0"/>
          <w:spacing w:val="0"/>
          <w:lang w:val="fr-FR"/>
        </w:rPr>
        <w:t>.  </w:t>
      </w:r>
      <w:r w:rsidR="00A2686E" w:rsidRPr="00844541">
        <w:rPr>
          <w:rStyle w:val="Accentuation"/>
          <w:b w:val="0"/>
          <w:bCs w:val="0"/>
          <w:i w:val="0"/>
          <w:iCs w:val="0"/>
          <w:spacing w:val="0"/>
          <w:lang w:val="fr-FR"/>
        </w:rPr>
        <w:t>Entre-temps, l</w:t>
      </w:r>
      <w:r w:rsidRPr="00844541">
        <w:rPr>
          <w:rStyle w:val="Accentuation"/>
          <w:b w:val="0"/>
          <w:bCs w:val="0"/>
          <w:i w:val="0"/>
          <w:iCs w:val="0"/>
          <w:spacing w:val="0"/>
          <w:lang w:val="fr-FR"/>
        </w:rPr>
        <w:t>e 5 avril 2002, à l</w:t>
      </w:r>
      <w:r w:rsidR="00844541">
        <w:rPr>
          <w:rStyle w:val="Accentuation"/>
          <w:b w:val="0"/>
          <w:bCs w:val="0"/>
          <w:i w:val="0"/>
          <w:iCs w:val="0"/>
          <w:spacing w:val="0"/>
          <w:lang w:val="fr-FR"/>
        </w:rPr>
        <w:t>’</w:t>
      </w:r>
      <w:r w:rsidRPr="00844541">
        <w:rPr>
          <w:rStyle w:val="Accentuation"/>
          <w:b w:val="0"/>
          <w:bCs w:val="0"/>
          <w:i w:val="0"/>
          <w:iCs w:val="0"/>
          <w:spacing w:val="0"/>
          <w:lang w:val="fr-FR"/>
        </w:rPr>
        <w:t xml:space="preserve">initiative du </w:t>
      </w:r>
      <w:r w:rsidR="00BE3A5D" w:rsidRPr="00844541">
        <w:rPr>
          <w:rStyle w:val="Accentuation"/>
          <w:b w:val="0"/>
          <w:bCs w:val="0"/>
          <w:i w:val="0"/>
          <w:iCs w:val="0"/>
          <w:spacing w:val="0"/>
          <w:lang w:val="fr-FR"/>
        </w:rPr>
        <w:t>m</w:t>
      </w:r>
      <w:r w:rsidRPr="00844541">
        <w:rPr>
          <w:rStyle w:val="Accentuation"/>
          <w:b w:val="0"/>
          <w:bCs w:val="0"/>
          <w:i w:val="0"/>
          <w:iCs w:val="0"/>
          <w:spacing w:val="0"/>
          <w:lang w:val="fr-FR"/>
        </w:rPr>
        <w:t>inistère de la Culture et des Cultes</w:t>
      </w:r>
      <w:r w:rsidR="00E77380" w:rsidRPr="00844541">
        <w:rPr>
          <w:rStyle w:val="Accentuation"/>
          <w:b w:val="0"/>
          <w:bCs w:val="0"/>
          <w:i w:val="0"/>
          <w:iCs w:val="0"/>
          <w:spacing w:val="0"/>
          <w:lang w:val="fr-FR"/>
        </w:rPr>
        <w:t xml:space="preserve"> (« le </w:t>
      </w:r>
      <w:r w:rsidR="00BE3A5D" w:rsidRPr="00844541">
        <w:rPr>
          <w:rStyle w:val="Accentuation"/>
          <w:b w:val="0"/>
          <w:bCs w:val="0"/>
          <w:i w:val="0"/>
          <w:iCs w:val="0"/>
          <w:spacing w:val="0"/>
          <w:lang w:val="fr-FR"/>
        </w:rPr>
        <w:t>m</w:t>
      </w:r>
      <w:r w:rsidR="00E77380" w:rsidRPr="00844541">
        <w:rPr>
          <w:rStyle w:val="Accentuation"/>
          <w:b w:val="0"/>
          <w:bCs w:val="0"/>
          <w:i w:val="0"/>
          <w:iCs w:val="0"/>
          <w:spacing w:val="0"/>
          <w:lang w:val="fr-FR"/>
        </w:rPr>
        <w:t>inistère »)</w:t>
      </w:r>
      <w:r w:rsidRPr="00844541">
        <w:rPr>
          <w:rStyle w:val="Accentuation"/>
          <w:b w:val="0"/>
          <w:bCs w:val="0"/>
          <w:i w:val="0"/>
          <w:iCs w:val="0"/>
          <w:spacing w:val="0"/>
          <w:lang w:val="fr-FR"/>
        </w:rPr>
        <w:t xml:space="preserve">, une rencontre appelée « Dialogue fraternel » </w:t>
      </w:r>
      <w:r w:rsidR="00A2686E" w:rsidRPr="00844541">
        <w:rPr>
          <w:rStyle w:val="Accentuation"/>
          <w:b w:val="0"/>
          <w:bCs w:val="0"/>
          <w:i w:val="0"/>
          <w:iCs w:val="0"/>
          <w:spacing w:val="0"/>
          <w:lang w:val="fr-FR"/>
        </w:rPr>
        <w:t xml:space="preserve">avait eu </w:t>
      </w:r>
      <w:r w:rsidRPr="00844541">
        <w:rPr>
          <w:rStyle w:val="Accentuation"/>
          <w:b w:val="0"/>
          <w:bCs w:val="0"/>
          <w:i w:val="0"/>
          <w:iCs w:val="0"/>
          <w:spacing w:val="0"/>
          <w:lang w:val="fr-FR"/>
        </w:rPr>
        <w:t>lieu au siège du secrétariat d</w:t>
      </w:r>
      <w:r w:rsidR="00844541">
        <w:rPr>
          <w:rStyle w:val="Accentuation"/>
          <w:b w:val="0"/>
          <w:bCs w:val="0"/>
          <w:i w:val="0"/>
          <w:iCs w:val="0"/>
          <w:spacing w:val="0"/>
          <w:lang w:val="fr-FR"/>
        </w:rPr>
        <w:t>’</w:t>
      </w:r>
      <w:r w:rsidRPr="00844541">
        <w:rPr>
          <w:rStyle w:val="Accentuation"/>
          <w:b w:val="0"/>
          <w:bCs w:val="0"/>
          <w:i w:val="0"/>
          <w:iCs w:val="0"/>
          <w:spacing w:val="0"/>
          <w:lang w:val="fr-FR"/>
        </w:rPr>
        <w:t>État pour les cultes de Bucarest. Lors de cette rencontre</w:t>
      </w:r>
      <w:r w:rsidR="00BE3A5D" w:rsidRPr="00844541">
        <w:rPr>
          <w:rStyle w:val="Accentuation"/>
          <w:b w:val="0"/>
          <w:bCs w:val="0"/>
          <w:i w:val="0"/>
          <w:iCs w:val="0"/>
          <w:spacing w:val="0"/>
          <w:lang w:val="fr-FR"/>
        </w:rPr>
        <w:t>,</w:t>
      </w:r>
      <w:r w:rsidRPr="00844541">
        <w:rPr>
          <w:rStyle w:val="Accentuation"/>
          <w:b w:val="0"/>
          <w:bCs w:val="0"/>
          <w:i w:val="0"/>
          <w:iCs w:val="0"/>
          <w:spacing w:val="0"/>
          <w:lang w:val="fr-FR"/>
        </w:rPr>
        <w:t xml:space="preserve"> les représentants du culte orthodoxe </w:t>
      </w:r>
      <w:r w:rsidR="00A2686E" w:rsidRPr="00844541">
        <w:rPr>
          <w:rStyle w:val="Accentuation"/>
          <w:b w:val="0"/>
          <w:bCs w:val="0"/>
          <w:i w:val="0"/>
          <w:iCs w:val="0"/>
          <w:spacing w:val="0"/>
          <w:lang w:val="fr-FR"/>
        </w:rPr>
        <w:t xml:space="preserve">avaient </w:t>
      </w:r>
      <w:r w:rsidR="00BE3A5D" w:rsidRPr="00844541">
        <w:rPr>
          <w:rStyle w:val="Accentuation"/>
          <w:b w:val="0"/>
          <w:bCs w:val="0"/>
          <w:i w:val="0"/>
          <w:iCs w:val="0"/>
          <w:spacing w:val="0"/>
          <w:lang w:val="fr-FR"/>
        </w:rPr>
        <w:t>défend</w:t>
      </w:r>
      <w:r w:rsidR="00A2686E" w:rsidRPr="00844541">
        <w:rPr>
          <w:rStyle w:val="Accentuation"/>
          <w:b w:val="0"/>
          <w:bCs w:val="0"/>
          <w:i w:val="0"/>
          <w:iCs w:val="0"/>
          <w:spacing w:val="0"/>
          <w:lang w:val="fr-FR"/>
        </w:rPr>
        <w:t>u</w:t>
      </w:r>
      <w:r w:rsidRPr="00844541">
        <w:rPr>
          <w:rStyle w:val="Accentuation"/>
          <w:b w:val="0"/>
          <w:bCs w:val="0"/>
          <w:i w:val="0"/>
          <w:iCs w:val="0"/>
          <w:spacing w:val="0"/>
          <w:lang w:val="fr-FR"/>
        </w:rPr>
        <w:t xml:space="preserve"> l</w:t>
      </w:r>
      <w:r w:rsidR="00844541">
        <w:rPr>
          <w:rStyle w:val="Accentuation"/>
          <w:b w:val="0"/>
          <w:bCs w:val="0"/>
          <w:i w:val="0"/>
          <w:iCs w:val="0"/>
          <w:spacing w:val="0"/>
          <w:lang w:val="fr-FR"/>
        </w:rPr>
        <w:t>’</w:t>
      </w:r>
      <w:r w:rsidRPr="00844541">
        <w:rPr>
          <w:rStyle w:val="Accentuation"/>
          <w:b w:val="0"/>
          <w:bCs w:val="0"/>
          <w:i w:val="0"/>
          <w:iCs w:val="0"/>
          <w:spacing w:val="0"/>
          <w:lang w:val="fr-FR"/>
        </w:rPr>
        <w:t xml:space="preserve">importance de la construction de nouvelles églises </w:t>
      </w:r>
      <w:r w:rsidR="00881381" w:rsidRPr="00844541">
        <w:rPr>
          <w:rStyle w:val="Accentuation"/>
          <w:b w:val="0"/>
          <w:bCs w:val="0"/>
          <w:i w:val="0"/>
          <w:iCs w:val="0"/>
          <w:spacing w:val="0"/>
          <w:lang w:val="fr-FR"/>
        </w:rPr>
        <w:t xml:space="preserve">pour </w:t>
      </w:r>
      <w:r w:rsidRPr="00844541">
        <w:rPr>
          <w:rStyle w:val="Accentuation"/>
          <w:b w:val="0"/>
          <w:bCs w:val="0"/>
          <w:i w:val="0"/>
          <w:iCs w:val="0"/>
          <w:spacing w:val="0"/>
          <w:lang w:val="fr-FR"/>
        </w:rPr>
        <w:t xml:space="preserve">la résolution du problème. </w:t>
      </w:r>
      <w:r w:rsidR="0094586C" w:rsidRPr="00844541">
        <w:rPr>
          <w:rStyle w:val="Accentuation"/>
          <w:b w:val="0"/>
          <w:bCs w:val="0"/>
          <w:i w:val="0"/>
          <w:iCs w:val="0"/>
          <w:spacing w:val="0"/>
          <w:lang w:val="fr-FR"/>
        </w:rPr>
        <w:t>À</w:t>
      </w:r>
      <w:r w:rsidRPr="00844541">
        <w:rPr>
          <w:rStyle w:val="Accentuation"/>
          <w:b w:val="0"/>
          <w:bCs w:val="0"/>
          <w:i w:val="0"/>
          <w:iCs w:val="0"/>
          <w:spacing w:val="0"/>
          <w:lang w:val="fr-FR"/>
        </w:rPr>
        <w:t xml:space="preserve"> cette occasion</w:t>
      </w:r>
      <w:r w:rsidR="00BE3A5D" w:rsidRPr="00844541">
        <w:rPr>
          <w:rStyle w:val="Accentuation"/>
          <w:b w:val="0"/>
          <w:bCs w:val="0"/>
          <w:i w:val="0"/>
          <w:iCs w:val="0"/>
          <w:spacing w:val="0"/>
          <w:lang w:val="fr-FR"/>
        </w:rPr>
        <w:t>,</w:t>
      </w:r>
      <w:r w:rsidRPr="00844541">
        <w:rPr>
          <w:rStyle w:val="Accentuation"/>
          <w:b w:val="0"/>
          <w:bCs w:val="0"/>
          <w:i w:val="0"/>
          <w:iCs w:val="0"/>
          <w:spacing w:val="0"/>
          <w:lang w:val="fr-FR"/>
        </w:rPr>
        <w:t xml:space="preserve"> l</w:t>
      </w:r>
      <w:r w:rsidR="00844541">
        <w:rPr>
          <w:rStyle w:val="Accentuation"/>
          <w:b w:val="0"/>
          <w:bCs w:val="0"/>
          <w:i w:val="0"/>
          <w:iCs w:val="0"/>
          <w:spacing w:val="0"/>
          <w:lang w:val="fr-FR"/>
        </w:rPr>
        <w:t>’</w:t>
      </w:r>
      <w:r w:rsidRPr="00844541">
        <w:rPr>
          <w:rStyle w:val="Accentuation"/>
          <w:b w:val="0"/>
          <w:bCs w:val="0"/>
          <w:i w:val="0"/>
          <w:iCs w:val="0"/>
          <w:spacing w:val="0"/>
          <w:lang w:val="fr-FR"/>
        </w:rPr>
        <w:t xml:space="preserve">intention du </w:t>
      </w:r>
      <w:r w:rsidR="00881381" w:rsidRPr="00844541">
        <w:rPr>
          <w:rStyle w:val="Accentuation"/>
          <w:b w:val="0"/>
          <w:bCs w:val="0"/>
          <w:i w:val="0"/>
          <w:iCs w:val="0"/>
          <w:spacing w:val="0"/>
          <w:lang w:val="fr-FR"/>
        </w:rPr>
        <w:t>g</w:t>
      </w:r>
      <w:r w:rsidRPr="00844541">
        <w:rPr>
          <w:rStyle w:val="Accentuation"/>
          <w:b w:val="0"/>
          <w:bCs w:val="0"/>
          <w:i w:val="0"/>
          <w:iCs w:val="0"/>
          <w:spacing w:val="0"/>
          <w:lang w:val="fr-FR"/>
        </w:rPr>
        <w:t xml:space="preserve">ouvernement de démarrer un </w:t>
      </w:r>
      <w:r w:rsidR="00A74CCB" w:rsidRPr="00844541">
        <w:rPr>
          <w:rStyle w:val="Accentuation"/>
          <w:b w:val="0"/>
          <w:bCs w:val="0"/>
          <w:i w:val="0"/>
          <w:iCs w:val="0"/>
          <w:spacing w:val="0"/>
          <w:lang w:val="fr-FR"/>
        </w:rPr>
        <w:t xml:space="preserve">programme </w:t>
      </w:r>
      <w:r w:rsidRPr="00844541">
        <w:rPr>
          <w:rStyle w:val="Accentuation"/>
          <w:b w:val="0"/>
          <w:bCs w:val="0"/>
          <w:i w:val="0"/>
          <w:iCs w:val="0"/>
          <w:spacing w:val="0"/>
          <w:lang w:val="fr-FR"/>
        </w:rPr>
        <w:t>de construction de nouvelles églises</w:t>
      </w:r>
      <w:r w:rsidR="000E731A" w:rsidRPr="00844541">
        <w:rPr>
          <w:lang w:val="fr-FR"/>
        </w:rPr>
        <w:t xml:space="preserve"> </w:t>
      </w:r>
      <w:r w:rsidR="00A2686E" w:rsidRPr="00844541">
        <w:rPr>
          <w:rStyle w:val="Accentuation"/>
          <w:b w:val="0"/>
          <w:bCs w:val="0"/>
          <w:i w:val="0"/>
          <w:iCs w:val="0"/>
          <w:spacing w:val="0"/>
          <w:lang w:val="fr-FR"/>
        </w:rPr>
        <w:t>avait été</w:t>
      </w:r>
      <w:r w:rsidR="000E731A" w:rsidRPr="00844541">
        <w:rPr>
          <w:rStyle w:val="Accentuation"/>
          <w:b w:val="0"/>
          <w:bCs w:val="0"/>
          <w:i w:val="0"/>
          <w:iCs w:val="0"/>
          <w:spacing w:val="0"/>
          <w:lang w:val="fr-FR"/>
        </w:rPr>
        <w:t xml:space="preserve"> saluée</w:t>
      </w:r>
      <w:r w:rsidRPr="00844541">
        <w:rPr>
          <w:rStyle w:val="Accentuation"/>
          <w:b w:val="0"/>
          <w:bCs w:val="0"/>
          <w:i w:val="0"/>
          <w:iCs w:val="0"/>
          <w:spacing w:val="0"/>
          <w:lang w:val="fr-FR"/>
        </w:rPr>
        <w:t xml:space="preserve">. Le </w:t>
      </w:r>
      <w:r w:rsidR="00BE3A5D" w:rsidRPr="00844541">
        <w:rPr>
          <w:rStyle w:val="Accentuation"/>
          <w:b w:val="0"/>
          <w:bCs w:val="0"/>
          <w:i w:val="0"/>
          <w:iCs w:val="0"/>
          <w:spacing w:val="0"/>
          <w:lang w:val="fr-FR"/>
        </w:rPr>
        <w:t>m</w:t>
      </w:r>
      <w:r w:rsidRPr="00844541">
        <w:rPr>
          <w:rStyle w:val="Accentuation"/>
          <w:b w:val="0"/>
          <w:bCs w:val="0"/>
          <w:i w:val="0"/>
          <w:iCs w:val="0"/>
          <w:spacing w:val="0"/>
          <w:lang w:val="fr-FR"/>
        </w:rPr>
        <w:t xml:space="preserve">inistère </w:t>
      </w:r>
      <w:r w:rsidR="00A2686E" w:rsidRPr="00844541">
        <w:rPr>
          <w:rStyle w:val="Accentuation"/>
          <w:b w:val="0"/>
          <w:bCs w:val="0"/>
          <w:i w:val="0"/>
          <w:iCs w:val="0"/>
          <w:spacing w:val="0"/>
          <w:lang w:val="fr-FR"/>
        </w:rPr>
        <w:t xml:space="preserve">avait </w:t>
      </w:r>
      <w:r w:rsidRPr="00844541">
        <w:rPr>
          <w:rStyle w:val="Accentuation"/>
          <w:b w:val="0"/>
          <w:bCs w:val="0"/>
          <w:i w:val="0"/>
          <w:iCs w:val="0"/>
          <w:spacing w:val="0"/>
          <w:lang w:val="fr-FR"/>
        </w:rPr>
        <w:t>demand</w:t>
      </w:r>
      <w:r w:rsidR="00A2686E" w:rsidRPr="00844541">
        <w:rPr>
          <w:rStyle w:val="Accentuation"/>
          <w:b w:val="0"/>
          <w:bCs w:val="0"/>
          <w:i w:val="0"/>
          <w:iCs w:val="0"/>
          <w:spacing w:val="0"/>
          <w:lang w:val="fr-FR"/>
        </w:rPr>
        <w:t>é</w:t>
      </w:r>
      <w:r w:rsidRPr="00844541">
        <w:rPr>
          <w:rStyle w:val="Accentuation"/>
          <w:b w:val="0"/>
          <w:bCs w:val="0"/>
          <w:i w:val="0"/>
          <w:iCs w:val="0"/>
          <w:spacing w:val="0"/>
          <w:lang w:val="fr-FR"/>
        </w:rPr>
        <w:t xml:space="preserve"> à la partie gréco</w:t>
      </w:r>
      <w:r w:rsidR="00AE17FD" w:rsidRPr="00844541">
        <w:rPr>
          <w:rStyle w:val="Accentuation"/>
          <w:b w:val="0"/>
          <w:bCs w:val="0"/>
          <w:i w:val="0"/>
          <w:iCs w:val="0"/>
          <w:spacing w:val="0"/>
          <w:lang w:val="fr-FR"/>
        </w:rPr>
        <w:t>-</w:t>
      </w:r>
      <w:r w:rsidRPr="00844541">
        <w:rPr>
          <w:rStyle w:val="Accentuation"/>
          <w:b w:val="0"/>
          <w:bCs w:val="0"/>
          <w:i w:val="0"/>
          <w:iCs w:val="0"/>
          <w:spacing w:val="0"/>
          <w:lang w:val="fr-FR"/>
        </w:rPr>
        <w:t xml:space="preserve">catholique de lui fournir une </w:t>
      </w:r>
      <w:r w:rsidR="001E7A98" w:rsidRPr="00844541">
        <w:rPr>
          <w:rStyle w:val="Accentuation"/>
          <w:b w:val="0"/>
          <w:bCs w:val="0"/>
          <w:i w:val="0"/>
          <w:iCs w:val="0"/>
          <w:spacing w:val="0"/>
          <w:lang w:val="fr-FR"/>
        </w:rPr>
        <w:t>liste</w:t>
      </w:r>
      <w:r w:rsidRPr="00844541">
        <w:rPr>
          <w:rStyle w:val="Accentuation"/>
          <w:b w:val="0"/>
          <w:bCs w:val="0"/>
          <w:i w:val="0"/>
          <w:iCs w:val="0"/>
          <w:spacing w:val="0"/>
          <w:lang w:val="fr-FR"/>
        </w:rPr>
        <w:t xml:space="preserve"> plus </w:t>
      </w:r>
      <w:r w:rsidR="001E7A98" w:rsidRPr="00844541">
        <w:rPr>
          <w:rStyle w:val="Accentuation"/>
          <w:b w:val="0"/>
          <w:bCs w:val="0"/>
          <w:i w:val="0"/>
          <w:iCs w:val="0"/>
          <w:spacing w:val="0"/>
          <w:lang w:val="fr-FR"/>
        </w:rPr>
        <w:t>précise</w:t>
      </w:r>
      <w:r w:rsidRPr="00844541">
        <w:rPr>
          <w:rStyle w:val="Accentuation"/>
          <w:b w:val="0"/>
          <w:bCs w:val="0"/>
          <w:i w:val="0"/>
          <w:iCs w:val="0"/>
          <w:spacing w:val="0"/>
          <w:lang w:val="fr-FR"/>
        </w:rPr>
        <w:t xml:space="preserve"> des lieux de culte qu</w:t>
      </w:r>
      <w:r w:rsidR="00844541">
        <w:rPr>
          <w:rStyle w:val="Accentuation"/>
          <w:b w:val="0"/>
          <w:bCs w:val="0"/>
          <w:i w:val="0"/>
          <w:iCs w:val="0"/>
          <w:spacing w:val="0"/>
          <w:lang w:val="fr-FR"/>
        </w:rPr>
        <w:t>’</w:t>
      </w:r>
      <w:r w:rsidRPr="00844541">
        <w:rPr>
          <w:rStyle w:val="Accentuation"/>
          <w:b w:val="0"/>
          <w:bCs w:val="0"/>
          <w:i w:val="0"/>
          <w:iCs w:val="0"/>
          <w:spacing w:val="0"/>
          <w:lang w:val="fr-FR"/>
        </w:rPr>
        <w:t xml:space="preserve">elle </w:t>
      </w:r>
      <w:r w:rsidR="001E7A98" w:rsidRPr="00844541">
        <w:rPr>
          <w:rStyle w:val="Accentuation"/>
          <w:b w:val="0"/>
          <w:bCs w:val="0"/>
          <w:i w:val="0"/>
          <w:iCs w:val="0"/>
          <w:spacing w:val="0"/>
          <w:lang w:val="fr-FR"/>
        </w:rPr>
        <w:t>revendiquait</w:t>
      </w:r>
      <w:r w:rsidRPr="00844541">
        <w:rPr>
          <w:rStyle w:val="Accentuation"/>
          <w:b w:val="0"/>
          <w:bCs w:val="0"/>
          <w:i w:val="0"/>
          <w:iCs w:val="0"/>
          <w:spacing w:val="0"/>
          <w:lang w:val="fr-FR"/>
        </w:rPr>
        <w:t>.</w:t>
      </w:r>
    </w:p>
    <w:p w:rsidR="00544688" w:rsidRPr="00844541" w:rsidRDefault="00544688" w:rsidP="00844541">
      <w:pPr>
        <w:pStyle w:val="ECHRPara"/>
        <w:rPr>
          <w:rStyle w:val="Accentuation"/>
          <w:b w:val="0"/>
          <w:bCs w:val="0"/>
          <w:i w:val="0"/>
          <w:iCs w:val="0"/>
          <w:spacing w:val="0"/>
          <w:lang w:val="fr-FR"/>
        </w:rPr>
      </w:pPr>
      <w:r w:rsidRPr="00844541">
        <w:rPr>
          <w:rStyle w:val="Accentuation"/>
          <w:b w:val="0"/>
          <w:bCs w:val="0"/>
          <w:i w:val="0"/>
          <w:iCs w:val="0"/>
          <w:spacing w:val="0"/>
        </w:rPr>
        <w:fldChar w:fldCharType="begin"/>
      </w:r>
      <w:r w:rsidRPr="00844541">
        <w:rPr>
          <w:rStyle w:val="Accentuation"/>
          <w:b w:val="0"/>
          <w:bCs w:val="0"/>
          <w:i w:val="0"/>
          <w:iCs w:val="0"/>
          <w:spacing w:val="0"/>
          <w:lang w:val="fr-FR"/>
        </w:rPr>
        <w:instrText xml:space="preserve"> SEQ level0 \*arabic </w:instrText>
      </w:r>
      <w:r w:rsidRPr="00844541">
        <w:rPr>
          <w:rStyle w:val="Accentuation"/>
          <w:b w:val="0"/>
          <w:bCs w:val="0"/>
          <w:i w:val="0"/>
          <w:iCs w:val="0"/>
          <w:spacing w:val="0"/>
        </w:rPr>
        <w:fldChar w:fldCharType="separate"/>
      </w:r>
      <w:r w:rsidR="00767866">
        <w:rPr>
          <w:rStyle w:val="Accentuation"/>
          <w:b w:val="0"/>
          <w:bCs w:val="0"/>
          <w:i w:val="0"/>
          <w:iCs w:val="0"/>
          <w:noProof/>
          <w:spacing w:val="0"/>
          <w:lang w:val="fr-FR"/>
        </w:rPr>
        <w:t>18</w:t>
      </w:r>
      <w:r w:rsidRPr="00844541">
        <w:rPr>
          <w:rStyle w:val="Accentuation"/>
          <w:b w:val="0"/>
          <w:bCs w:val="0"/>
          <w:i w:val="0"/>
          <w:iCs w:val="0"/>
          <w:spacing w:val="0"/>
        </w:rPr>
        <w:fldChar w:fldCharType="end"/>
      </w:r>
      <w:r w:rsidRPr="00844541">
        <w:rPr>
          <w:rStyle w:val="Accentuation"/>
          <w:b w:val="0"/>
          <w:bCs w:val="0"/>
          <w:i w:val="0"/>
          <w:iCs w:val="0"/>
          <w:spacing w:val="0"/>
          <w:lang w:val="fr-FR"/>
        </w:rPr>
        <w:t>.  D</w:t>
      </w:r>
      <w:r w:rsidR="00844541">
        <w:rPr>
          <w:rStyle w:val="Accentuation"/>
          <w:b w:val="0"/>
          <w:bCs w:val="0"/>
          <w:i w:val="0"/>
          <w:iCs w:val="0"/>
          <w:spacing w:val="0"/>
          <w:lang w:val="fr-FR"/>
        </w:rPr>
        <w:t>’</w:t>
      </w:r>
      <w:r w:rsidRPr="00844541">
        <w:rPr>
          <w:rStyle w:val="Accentuation"/>
          <w:b w:val="0"/>
          <w:bCs w:val="0"/>
          <w:i w:val="0"/>
          <w:iCs w:val="0"/>
          <w:spacing w:val="0"/>
          <w:lang w:val="fr-FR"/>
        </w:rPr>
        <w:t xml:space="preserve">après la paroisse requérante, </w:t>
      </w:r>
      <w:r w:rsidR="00AF5774" w:rsidRPr="00844541">
        <w:rPr>
          <w:rStyle w:val="Accentuation"/>
          <w:b w:val="0"/>
          <w:bCs w:val="0"/>
          <w:i w:val="0"/>
          <w:iCs w:val="0"/>
          <w:spacing w:val="0"/>
          <w:lang w:val="fr-FR"/>
        </w:rPr>
        <w:t>la partie gréco</w:t>
      </w:r>
      <w:r w:rsidR="00AE17FD" w:rsidRPr="00844541">
        <w:rPr>
          <w:rStyle w:val="Accentuation"/>
          <w:b w:val="0"/>
          <w:bCs w:val="0"/>
          <w:i w:val="0"/>
          <w:iCs w:val="0"/>
          <w:spacing w:val="0"/>
          <w:lang w:val="fr-FR"/>
        </w:rPr>
        <w:t>-</w:t>
      </w:r>
      <w:r w:rsidR="00AF5774" w:rsidRPr="00844541">
        <w:rPr>
          <w:rStyle w:val="Accentuation"/>
          <w:b w:val="0"/>
          <w:bCs w:val="0"/>
          <w:i w:val="0"/>
          <w:iCs w:val="0"/>
          <w:spacing w:val="0"/>
          <w:lang w:val="fr-FR"/>
        </w:rPr>
        <w:t xml:space="preserve">catholique </w:t>
      </w:r>
      <w:r w:rsidR="00A74CCB" w:rsidRPr="00844541">
        <w:rPr>
          <w:rStyle w:val="Accentuation"/>
          <w:b w:val="0"/>
          <w:bCs w:val="0"/>
          <w:i w:val="0"/>
          <w:iCs w:val="0"/>
          <w:spacing w:val="0"/>
          <w:lang w:val="fr-FR"/>
        </w:rPr>
        <w:t>a</w:t>
      </w:r>
      <w:r w:rsidR="00AF5774" w:rsidRPr="00844541">
        <w:rPr>
          <w:rStyle w:val="Accentuation"/>
          <w:b w:val="0"/>
          <w:bCs w:val="0"/>
          <w:i w:val="0"/>
          <w:iCs w:val="0"/>
          <w:spacing w:val="0"/>
          <w:lang w:val="fr-FR"/>
        </w:rPr>
        <w:t xml:space="preserve"> bien remis l</w:t>
      </w:r>
      <w:r w:rsidRPr="00844541">
        <w:rPr>
          <w:rStyle w:val="Accentuation"/>
          <w:b w:val="0"/>
          <w:bCs w:val="0"/>
          <w:i w:val="0"/>
          <w:iCs w:val="0"/>
          <w:spacing w:val="0"/>
          <w:lang w:val="fr-FR"/>
        </w:rPr>
        <w:t xml:space="preserve">es documents </w:t>
      </w:r>
      <w:r w:rsidR="00AF5774" w:rsidRPr="00844541">
        <w:rPr>
          <w:rStyle w:val="Accentuation"/>
          <w:b w:val="0"/>
          <w:bCs w:val="0"/>
          <w:i w:val="0"/>
          <w:iCs w:val="0"/>
          <w:spacing w:val="0"/>
          <w:lang w:val="fr-FR"/>
        </w:rPr>
        <w:t>demandés au ministère</w:t>
      </w:r>
      <w:r w:rsidRPr="00844541">
        <w:rPr>
          <w:rStyle w:val="Accentuation"/>
          <w:b w:val="0"/>
          <w:bCs w:val="0"/>
          <w:i w:val="0"/>
          <w:iCs w:val="0"/>
          <w:spacing w:val="0"/>
          <w:lang w:val="fr-FR"/>
        </w:rPr>
        <w:t>,</w:t>
      </w:r>
      <w:r w:rsidR="00AF5774" w:rsidRPr="00844541">
        <w:rPr>
          <w:rStyle w:val="Accentuation"/>
          <w:b w:val="0"/>
          <w:bCs w:val="0"/>
          <w:i w:val="0"/>
          <w:iCs w:val="0"/>
          <w:spacing w:val="0"/>
          <w:lang w:val="fr-FR"/>
        </w:rPr>
        <w:t xml:space="preserve"> </w:t>
      </w:r>
      <w:r w:rsidR="00A74CCB" w:rsidRPr="00844541">
        <w:rPr>
          <w:rStyle w:val="Accentuation"/>
          <w:b w:val="0"/>
          <w:bCs w:val="0"/>
          <w:i w:val="0"/>
          <w:iCs w:val="0"/>
          <w:spacing w:val="0"/>
          <w:lang w:val="fr-FR"/>
        </w:rPr>
        <w:t xml:space="preserve">mais </w:t>
      </w:r>
      <w:r w:rsidR="00AF5774" w:rsidRPr="00844541">
        <w:rPr>
          <w:rStyle w:val="Accentuation"/>
          <w:b w:val="0"/>
          <w:bCs w:val="0"/>
          <w:i w:val="0"/>
          <w:iCs w:val="0"/>
          <w:spacing w:val="0"/>
          <w:lang w:val="fr-FR"/>
        </w:rPr>
        <w:t>celui-ci n</w:t>
      </w:r>
      <w:r w:rsidR="00844541">
        <w:rPr>
          <w:rStyle w:val="Accentuation"/>
          <w:b w:val="0"/>
          <w:bCs w:val="0"/>
          <w:i w:val="0"/>
          <w:iCs w:val="0"/>
          <w:spacing w:val="0"/>
          <w:lang w:val="fr-FR"/>
        </w:rPr>
        <w:t>’</w:t>
      </w:r>
      <w:r w:rsidR="00AF5774" w:rsidRPr="00844541">
        <w:rPr>
          <w:rStyle w:val="Accentuation"/>
          <w:b w:val="0"/>
          <w:bCs w:val="0"/>
          <w:i w:val="0"/>
          <w:iCs w:val="0"/>
          <w:spacing w:val="0"/>
          <w:lang w:val="fr-FR"/>
        </w:rPr>
        <w:t>a pas donné suite</w:t>
      </w:r>
      <w:r w:rsidRPr="00844541">
        <w:rPr>
          <w:rStyle w:val="Accentuation"/>
          <w:b w:val="0"/>
          <w:bCs w:val="0"/>
          <w:i w:val="0"/>
          <w:iCs w:val="0"/>
          <w:spacing w:val="0"/>
          <w:lang w:val="fr-FR"/>
        </w:rPr>
        <w:t>.</w:t>
      </w:r>
    </w:p>
    <w:p w:rsidR="00544688" w:rsidRPr="00844541" w:rsidRDefault="006832E3" w:rsidP="00844541">
      <w:pPr>
        <w:pStyle w:val="ECHRHeading2"/>
      </w:pPr>
      <w:r w:rsidRPr="00844541">
        <w:t>C</w:t>
      </w:r>
      <w:r w:rsidR="00713D4F" w:rsidRPr="00844541">
        <w:t>.</w:t>
      </w:r>
      <w:r w:rsidR="00EF6162" w:rsidRPr="00844541">
        <w:t>  </w:t>
      </w:r>
      <w:r w:rsidR="00544688" w:rsidRPr="00844541">
        <w:t>L</w:t>
      </w:r>
      <w:r w:rsidR="00844541">
        <w:t>’</w:t>
      </w:r>
      <w:r w:rsidR="00373176" w:rsidRPr="00844541">
        <w:t>a</w:t>
      </w:r>
      <w:r w:rsidR="009017C9" w:rsidRPr="00844541">
        <w:t>ction</w:t>
      </w:r>
      <w:r w:rsidR="00544688" w:rsidRPr="00844541">
        <w:t xml:space="preserve"> judiciaire des</w:t>
      </w:r>
      <w:r w:rsidR="001035B5" w:rsidRPr="00844541">
        <w:t xml:space="preserve"> </w:t>
      </w:r>
      <w:r w:rsidR="00544688" w:rsidRPr="00844541">
        <w:t>requérants</w:t>
      </w:r>
    </w:p>
    <w:bookmarkStart w:id="5" w:name="P19"/>
    <w:p w:rsidR="00B43D08" w:rsidRPr="00844541" w:rsidRDefault="00AA632A"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19</w:t>
      </w:r>
      <w:r w:rsidRPr="00844541">
        <w:rPr>
          <w:noProof/>
        </w:rPr>
        <w:fldChar w:fldCharType="end"/>
      </w:r>
      <w:bookmarkEnd w:id="5"/>
      <w:r w:rsidR="00544688" w:rsidRPr="00844541">
        <w:rPr>
          <w:lang w:val="fr-FR"/>
        </w:rPr>
        <w:t>.  </w:t>
      </w:r>
      <w:r w:rsidR="00A2686E" w:rsidRPr="00844541">
        <w:rPr>
          <w:lang w:val="fr-FR"/>
        </w:rPr>
        <w:t>Auparavant</w:t>
      </w:r>
      <w:r w:rsidR="000B05C7" w:rsidRPr="00844541">
        <w:rPr>
          <w:lang w:val="fr-FR"/>
        </w:rPr>
        <w:t>, l</w:t>
      </w:r>
      <w:r w:rsidR="00544688" w:rsidRPr="00844541">
        <w:rPr>
          <w:lang w:val="fr-FR"/>
        </w:rPr>
        <w:t>e 23 mai 2001, l</w:t>
      </w:r>
      <w:r w:rsidR="00A24239" w:rsidRPr="00844541">
        <w:rPr>
          <w:lang w:val="fr-FR"/>
        </w:rPr>
        <w:t>e deuxième</w:t>
      </w:r>
      <w:r w:rsidR="00544688" w:rsidRPr="00844541">
        <w:rPr>
          <w:lang w:val="fr-FR"/>
        </w:rPr>
        <w:t xml:space="preserve"> requérant</w:t>
      </w:r>
      <w:r w:rsidR="00A24239" w:rsidRPr="00844541">
        <w:rPr>
          <w:lang w:val="fr-FR"/>
        </w:rPr>
        <w:t>, à savoir l</w:t>
      </w:r>
      <w:r w:rsidR="00844541">
        <w:rPr>
          <w:lang w:val="fr-FR"/>
        </w:rPr>
        <w:t>’</w:t>
      </w:r>
      <w:r w:rsidR="00A24239" w:rsidRPr="00844541">
        <w:rPr>
          <w:lang w:val="fr-FR"/>
        </w:rPr>
        <w:t>Évêché gréco-catholique de Lugoj, en se référant aux deux autres requérants,</w:t>
      </w:r>
      <w:r w:rsidR="00544688" w:rsidRPr="00844541">
        <w:rPr>
          <w:lang w:val="fr-FR"/>
        </w:rPr>
        <w:t xml:space="preserve"> </w:t>
      </w:r>
      <w:r w:rsidR="000B05C7" w:rsidRPr="00844541">
        <w:rPr>
          <w:lang w:val="fr-FR"/>
        </w:rPr>
        <w:t xml:space="preserve">avait </w:t>
      </w:r>
      <w:r w:rsidR="00544688" w:rsidRPr="00844541">
        <w:rPr>
          <w:lang w:val="fr-FR"/>
        </w:rPr>
        <w:t>saisi les juridictions nationales d</w:t>
      </w:r>
      <w:r w:rsidR="00844541">
        <w:rPr>
          <w:lang w:val="fr-FR"/>
        </w:rPr>
        <w:t>’</w:t>
      </w:r>
      <w:r w:rsidR="00544688" w:rsidRPr="00844541">
        <w:rPr>
          <w:lang w:val="fr-FR"/>
        </w:rPr>
        <w:t>une action contre l</w:t>
      </w:r>
      <w:r w:rsidR="00844541">
        <w:rPr>
          <w:lang w:val="fr-FR"/>
        </w:rPr>
        <w:t>’</w:t>
      </w:r>
      <w:r w:rsidR="00544688" w:rsidRPr="00844541">
        <w:rPr>
          <w:lang w:val="fr-FR"/>
        </w:rPr>
        <w:t>Archidiocèse orthodoxe de Arad et la Paroisse orthodoxe de Lupeni</w:t>
      </w:r>
      <w:r w:rsidR="00AF0E64" w:rsidRPr="00844541">
        <w:rPr>
          <w:lang w:val="fr-FR"/>
        </w:rPr>
        <w:t>. Il</w:t>
      </w:r>
      <w:r w:rsidR="00544688" w:rsidRPr="00844541">
        <w:rPr>
          <w:lang w:val="fr-FR"/>
        </w:rPr>
        <w:t xml:space="preserve"> demanda</w:t>
      </w:r>
      <w:r w:rsidR="00AF0E64" w:rsidRPr="00844541">
        <w:rPr>
          <w:lang w:val="fr-FR"/>
        </w:rPr>
        <w:t>i</w:t>
      </w:r>
      <w:r w:rsidR="00544688" w:rsidRPr="00844541">
        <w:rPr>
          <w:lang w:val="fr-FR"/>
        </w:rPr>
        <w:t>t l</w:t>
      </w:r>
      <w:r w:rsidR="00844541">
        <w:rPr>
          <w:lang w:val="fr-FR"/>
        </w:rPr>
        <w:t>’</w:t>
      </w:r>
      <w:r w:rsidR="00544688" w:rsidRPr="00844541">
        <w:rPr>
          <w:lang w:val="fr-FR"/>
        </w:rPr>
        <w:t>annulation de l</w:t>
      </w:r>
      <w:r w:rsidR="00844541">
        <w:rPr>
          <w:lang w:val="fr-FR"/>
        </w:rPr>
        <w:t>’</w:t>
      </w:r>
      <w:r w:rsidR="00544688" w:rsidRPr="00844541">
        <w:rPr>
          <w:lang w:val="fr-FR"/>
        </w:rPr>
        <w:t>expropriation</w:t>
      </w:r>
      <w:r w:rsidR="000A305F" w:rsidRPr="00844541">
        <w:rPr>
          <w:lang w:val="fr-FR"/>
        </w:rPr>
        <w:t>,</w:t>
      </w:r>
      <w:r w:rsidR="00544688" w:rsidRPr="00844541">
        <w:rPr>
          <w:lang w:val="fr-FR"/>
        </w:rPr>
        <w:t xml:space="preserve"> opérée sur la base du décret n</w:t>
      </w:r>
      <w:r w:rsidR="00544688" w:rsidRPr="00844541">
        <w:rPr>
          <w:vertAlign w:val="superscript"/>
          <w:lang w:val="fr-FR"/>
        </w:rPr>
        <w:t>o</w:t>
      </w:r>
      <w:r w:rsidR="009D3168" w:rsidRPr="00844541">
        <w:rPr>
          <w:lang w:val="fr-FR"/>
        </w:rPr>
        <w:t> </w:t>
      </w:r>
      <w:r w:rsidR="00544688" w:rsidRPr="00844541">
        <w:rPr>
          <w:lang w:val="fr-FR"/>
        </w:rPr>
        <w:t>358/1948</w:t>
      </w:r>
      <w:r w:rsidR="000A305F" w:rsidRPr="00844541">
        <w:rPr>
          <w:lang w:val="fr-FR"/>
        </w:rPr>
        <w:t>,</w:t>
      </w:r>
      <w:r w:rsidR="00544688" w:rsidRPr="00844541">
        <w:rPr>
          <w:lang w:val="fr-FR"/>
        </w:rPr>
        <w:t xml:space="preserve"> </w:t>
      </w:r>
      <w:r w:rsidR="000A305F" w:rsidRPr="00844541">
        <w:rPr>
          <w:lang w:val="fr-FR"/>
        </w:rPr>
        <w:t>de</w:t>
      </w:r>
      <w:r w:rsidR="00544688" w:rsidRPr="00844541">
        <w:rPr>
          <w:lang w:val="fr-FR"/>
        </w:rPr>
        <w:t xml:space="preserve"> l</w:t>
      </w:r>
      <w:r w:rsidR="00844541">
        <w:rPr>
          <w:lang w:val="fr-FR"/>
        </w:rPr>
        <w:t>’</w:t>
      </w:r>
      <w:r w:rsidR="00544688" w:rsidRPr="00844541">
        <w:rPr>
          <w:lang w:val="fr-FR"/>
        </w:rPr>
        <w:t xml:space="preserve">église et </w:t>
      </w:r>
      <w:r w:rsidR="000A305F" w:rsidRPr="00844541">
        <w:rPr>
          <w:lang w:val="fr-FR"/>
        </w:rPr>
        <w:t>du</w:t>
      </w:r>
      <w:r w:rsidR="00544688" w:rsidRPr="00844541">
        <w:rPr>
          <w:lang w:val="fr-FR"/>
        </w:rPr>
        <w:t xml:space="preserve"> cimetière situés à Lupeni et la restitution de cette église à la paroisse requérante.</w:t>
      </w:r>
      <w:bookmarkStart w:id="6" w:name="P20"/>
      <w:bookmarkStart w:id="7" w:name="P18"/>
    </w:p>
    <w:p w:rsidR="00B43D08" w:rsidRPr="00844541" w:rsidRDefault="00754CB3"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20</w:t>
      </w:r>
      <w:r w:rsidRPr="00844541">
        <w:fldChar w:fldCharType="end"/>
      </w:r>
      <w:bookmarkEnd w:id="6"/>
      <w:r w:rsidRPr="00844541">
        <w:rPr>
          <w:lang w:val="fr-FR"/>
        </w:rPr>
        <w:t>.  </w:t>
      </w:r>
      <w:bookmarkEnd w:id="7"/>
      <w:r w:rsidR="00544688" w:rsidRPr="00844541">
        <w:rPr>
          <w:lang w:val="fr-FR"/>
        </w:rPr>
        <w:t>Par un jugement du 10 octobre 2001, le tribunal départemental de Hunedoara (« le tribunal départemental ») déclara l</w:t>
      </w:r>
      <w:r w:rsidR="00844541">
        <w:rPr>
          <w:lang w:val="fr-FR"/>
        </w:rPr>
        <w:t>’</w:t>
      </w:r>
      <w:r w:rsidR="00544688" w:rsidRPr="00844541">
        <w:rPr>
          <w:lang w:val="fr-FR"/>
        </w:rPr>
        <w:t>action irrecevable au motif que le litige devait être résolu par la voie de la procédure spéciale instituée par le décret-loi n</w:t>
      </w:r>
      <w:r w:rsidR="00544688" w:rsidRPr="00844541">
        <w:rPr>
          <w:vertAlign w:val="superscript"/>
          <w:lang w:val="fr-FR"/>
        </w:rPr>
        <w:t>o</w:t>
      </w:r>
      <w:r w:rsidR="00544688" w:rsidRPr="00844541">
        <w:rPr>
          <w:lang w:val="fr-FR"/>
        </w:rPr>
        <w:t xml:space="preserve"> 126/1990, </w:t>
      </w:r>
      <w:r w:rsidR="00A2686E" w:rsidRPr="00844541">
        <w:rPr>
          <w:lang w:val="fr-FR"/>
        </w:rPr>
        <w:t>c</w:t>
      </w:r>
      <w:r w:rsidR="00844541">
        <w:rPr>
          <w:lang w:val="fr-FR"/>
        </w:rPr>
        <w:t>’</w:t>
      </w:r>
      <w:r w:rsidR="00A2686E" w:rsidRPr="00844541">
        <w:rPr>
          <w:lang w:val="fr-FR"/>
        </w:rPr>
        <w:t>est-à-dire</w:t>
      </w:r>
      <w:r w:rsidR="00544688" w:rsidRPr="00844541">
        <w:rPr>
          <w:lang w:val="fr-FR"/>
        </w:rPr>
        <w:t xml:space="preserve"> devant la commission mixte.</w:t>
      </w:r>
      <w:bookmarkStart w:id="8" w:name="H21"/>
    </w:p>
    <w:p w:rsidR="00B43D08" w:rsidRPr="00844541" w:rsidRDefault="00180A89"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21</w:t>
      </w:r>
      <w:r w:rsidRPr="00844541">
        <w:rPr>
          <w:noProof/>
        </w:rPr>
        <w:fldChar w:fldCharType="end"/>
      </w:r>
      <w:bookmarkEnd w:id="8"/>
      <w:r w:rsidR="00544688" w:rsidRPr="00844541">
        <w:rPr>
          <w:lang w:val="fr-FR"/>
        </w:rPr>
        <w:t>.  L</w:t>
      </w:r>
      <w:r w:rsidR="00844541">
        <w:rPr>
          <w:lang w:val="fr-FR"/>
        </w:rPr>
        <w:t>’</w:t>
      </w:r>
      <w:r w:rsidR="00544688" w:rsidRPr="00844541">
        <w:rPr>
          <w:lang w:val="fr-FR"/>
        </w:rPr>
        <w:t xml:space="preserve">appel </w:t>
      </w:r>
      <w:r w:rsidR="000A305F" w:rsidRPr="00844541">
        <w:rPr>
          <w:lang w:val="fr-FR"/>
        </w:rPr>
        <w:t xml:space="preserve">que </w:t>
      </w:r>
      <w:r w:rsidR="00A24239" w:rsidRPr="00844541">
        <w:rPr>
          <w:lang w:val="fr-FR"/>
        </w:rPr>
        <w:t>le deuxième</w:t>
      </w:r>
      <w:r w:rsidR="00544688" w:rsidRPr="00844541">
        <w:rPr>
          <w:lang w:val="fr-FR"/>
        </w:rPr>
        <w:t xml:space="preserve"> requérant </w:t>
      </w:r>
      <w:r w:rsidR="000A305F" w:rsidRPr="00844541">
        <w:rPr>
          <w:lang w:val="fr-FR"/>
        </w:rPr>
        <w:t>f</w:t>
      </w:r>
      <w:r w:rsidR="00A24239" w:rsidRPr="00844541">
        <w:rPr>
          <w:lang w:val="fr-FR"/>
        </w:rPr>
        <w:t>i</w:t>
      </w:r>
      <w:r w:rsidR="000A305F" w:rsidRPr="00844541">
        <w:rPr>
          <w:lang w:val="fr-FR"/>
        </w:rPr>
        <w:t>t de</w:t>
      </w:r>
      <w:r w:rsidR="00544688" w:rsidRPr="00844541">
        <w:rPr>
          <w:lang w:val="fr-FR"/>
        </w:rPr>
        <w:t xml:space="preserve"> ce jugement fut rejeté par un arrêt </w:t>
      </w:r>
      <w:r w:rsidR="000D4B95" w:rsidRPr="00844541">
        <w:rPr>
          <w:lang w:val="fr-FR"/>
        </w:rPr>
        <w:t xml:space="preserve">rendu par </w:t>
      </w:r>
      <w:r w:rsidR="00544688" w:rsidRPr="00844541">
        <w:rPr>
          <w:lang w:val="fr-FR"/>
        </w:rPr>
        <w:t>la cour d</w:t>
      </w:r>
      <w:r w:rsidR="00844541">
        <w:rPr>
          <w:lang w:val="fr-FR"/>
        </w:rPr>
        <w:t>’</w:t>
      </w:r>
      <w:r w:rsidR="00544688" w:rsidRPr="00844541">
        <w:rPr>
          <w:lang w:val="fr-FR"/>
        </w:rPr>
        <w:t>appel de Alba Iulia (« la cour d</w:t>
      </w:r>
      <w:r w:rsidR="00844541">
        <w:rPr>
          <w:lang w:val="fr-FR"/>
        </w:rPr>
        <w:t>’</w:t>
      </w:r>
      <w:r w:rsidR="00544688" w:rsidRPr="00844541">
        <w:rPr>
          <w:lang w:val="fr-FR"/>
        </w:rPr>
        <w:t xml:space="preserve">appel ») </w:t>
      </w:r>
      <w:r w:rsidR="000D4B95" w:rsidRPr="00844541">
        <w:rPr>
          <w:lang w:val="fr-FR"/>
        </w:rPr>
        <w:t>le</w:t>
      </w:r>
      <w:r w:rsidR="00544688" w:rsidRPr="00844541">
        <w:rPr>
          <w:lang w:val="fr-FR"/>
        </w:rPr>
        <w:t xml:space="preserve"> 25</w:t>
      </w:r>
      <w:r w:rsidR="0033607C" w:rsidRPr="00844541">
        <w:rPr>
          <w:lang w:val="fr-FR"/>
        </w:rPr>
        <w:t> </w:t>
      </w:r>
      <w:r w:rsidR="00544688" w:rsidRPr="00844541">
        <w:rPr>
          <w:lang w:val="fr-FR"/>
        </w:rPr>
        <w:t>mars 2003, qui jugea l</w:t>
      </w:r>
      <w:r w:rsidR="00844541">
        <w:rPr>
          <w:lang w:val="fr-FR"/>
        </w:rPr>
        <w:t>’</w:t>
      </w:r>
      <w:r w:rsidR="00544688" w:rsidRPr="00844541">
        <w:rPr>
          <w:lang w:val="fr-FR"/>
        </w:rPr>
        <w:t>action prématurée. Sur recours d</w:t>
      </w:r>
      <w:r w:rsidR="00A24239" w:rsidRPr="00844541">
        <w:rPr>
          <w:lang w:val="fr-FR"/>
        </w:rPr>
        <w:t>e la paroisse requérante et du deuxième</w:t>
      </w:r>
      <w:r w:rsidR="00544688" w:rsidRPr="00844541">
        <w:rPr>
          <w:lang w:val="fr-FR"/>
        </w:rPr>
        <w:t xml:space="preserve"> requérant, par un</w:t>
      </w:r>
      <w:r w:rsidR="009D3168" w:rsidRPr="00844541">
        <w:rPr>
          <w:lang w:val="fr-FR"/>
        </w:rPr>
        <w:t xml:space="preserve"> arrêt définitif du 24 novembre </w:t>
      </w:r>
      <w:r w:rsidR="00544688" w:rsidRPr="00844541">
        <w:rPr>
          <w:lang w:val="fr-FR"/>
        </w:rPr>
        <w:t>2004, la Haute Cour de cassation et de justice (« la Haute Cour ») renvoya l</w:t>
      </w:r>
      <w:r w:rsidR="00844541">
        <w:rPr>
          <w:lang w:val="fr-FR"/>
        </w:rPr>
        <w:t>’</w:t>
      </w:r>
      <w:r w:rsidR="00544688" w:rsidRPr="00844541">
        <w:rPr>
          <w:lang w:val="fr-FR"/>
        </w:rPr>
        <w:t>affaire devant la même cour d</w:t>
      </w:r>
      <w:r w:rsidR="00844541">
        <w:rPr>
          <w:lang w:val="fr-FR"/>
        </w:rPr>
        <w:t>’</w:t>
      </w:r>
      <w:r w:rsidR="00544688" w:rsidRPr="00844541">
        <w:rPr>
          <w:lang w:val="fr-FR"/>
        </w:rPr>
        <w:t>appel pour un nouveau jugement au fond.</w:t>
      </w:r>
    </w:p>
    <w:p w:rsidR="00B43D08" w:rsidRPr="00844541" w:rsidRDefault="00AA632A"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22</w:t>
      </w:r>
      <w:r w:rsidRPr="00844541">
        <w:rPr>
          <w:noProof/>
        </w:rPr>
        <w:fldChar w:fldCharType="end"/>
      </w:r>
      <w:r w:rsidR="00544688" w:rsidRPr="00844541">
        <w:rPr>
          <w:lang w:val="fr-FR"/>
        </w:rPr>
        <w:t xml:space="preserve">.  Le 12 mai 2006, </w:t>
      </w:r>
      <w:r w:rsidR="009017C9" w:rsidRPr="00844541">
        <w:rPr>
          <w:lang w:val="fr-FR"/>
        </w:rPr>
        <w:t>en application</w:t>
      </w:r>
      <w:r w:rsidR="00544688" w:rsidRPr="00844541">
        <w:rPr>
          <w:lang w:val="fr-FR"/>
        </w:rPr>
        <w:t xml:space="preserve"> des modifications législatives qui donnaient compétence aux tribunaux pour juger le fond des affaires (paragraphe </w:t>
      </w:r>
      <w:r w:rsidR="0037694B" w:rsidRPr="00844541">
        <w:fldChar w:fldCharType="begin"/>
      </w:r>
      <w:r w:rsidR="0037694B" w:rsidRPr="00844541">
        <w:rPr>
          <w:lang w:val="fr-FR"/>
        </w:rPr>
        <w:instrText xml:space="preserve"> REF P11 \h </w:instrText>
      </w:r>
      <w:r w:rsidR="003428ED" w:rsidRPr="00844541">
        <w:rPr>
          <w:lang w:val="fr-FR"/>
        </w:rPr>
        <w:instrText xml:space="preserve"> \* MERGEFORMAT </w:instrText>
      </w:r>
      <w:r w:rsidR="0037694B" w:rsidRPr="00844541">
        <w:fldChar w:fldCharType="separate"/>
      </w:r>
      <w:r w:rsidR="00767866">
        <w:rPr>
          <w:noProof/>
          <w:lang w:val="fr-FR"/>
        </w:rPr>
        <w:t>11</w:t>
      </w:r>
      <w:r w:rsidR="0037694B" w:rsidRPr="00844541">
        <w:fldChar w:fldCharType="end"/>
      </w:r>
      <w:r w:rsidR="00544688" w:rsidRPr="00844541">
        <w:rPr>
          <w:lang w:val="fr-FR"/>
        </w:rPr>
        <w:t xml:space="preserve"> ci-dessus), la cour d</w:t>
      </w:r>
      <w:r w:rsidR="00844541">
        <w:rPr>
          <w:lang w:val="fr-FR"/>
        </w:rPr>
        <w:t>’</w:t>
      </w:r>
      <w:r w:rsidR="00544688" w:rsidRPr="00844541">
        <w:rPr>
          <w:lang w:val="fr-FR"/>
        </w:rPr>
        <w:t xml:space="preserve">appel </w:t>
      </w:r>
      <w:r w:rsidR="00A24239" w:rsidRPr="00844541">
        <w:rPr>
          <w:lang w:val="fr-FR"/>
        </w:rPr>
        <w:t>fit droit à l</w:t>
      </w:r>
      <w:r w:rsidR="00844541">
        <w:rPr>
          <w:lang w:val="fr-FR"/>
        </w:rPr>
        <w:t>’</w:t>
      </w:r>
      <w:r w:rsidR="00A24239" w:rsidRPr="00844541">
        <w:rPr>
          <w:lang w:val="fr-FR"/>
        </w:rPr>
        <w:t xml:space="preserve">appel du deuxième requérant et </w:t>
      </w:r>
      <w:r w:rsidR="00544688" w:rsidRPr="00844541">
        <w:rPr>
          <w:lang w:val="fr-FR"/>
        </w:rPr>
        <w:t>transmit le dossier au tribunal départemental.</w:t>
      </w:r>
      <w:bookmarkStart w:id="9" w:name="P23"/>
    </w:p>
    <w:p w:rsidR="00544688" w:rsidRPr="00844541" w:rsidRDefault="00BC5730"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23</w:t>
      </w:r>
      <w:r w:rsidRPr="00844541">
        <w:fldChar w:fldCharType="end"/>
      </w:r>
      <w:bookmarkEnd w:id="9"/>
      <w:r w:rsidRPr="00844541">
        <w:rPr>
          <w:lang w:val="fr-FR"/>
        </w:rPr>
        <w:t>.  </w:t>
      </w:r>
      <w:r w:rsidR="00A24239" w:rsidRPr="00844541">
        <w:rPr>
          <w:lang w:val="fr-FR"/>
        </w:rPr>
        <w:t>Le 27 juillet 2006, lorsque l</w:t>
      </w:r>
      <w:r w:rsidR="00844541">
        <w:rPr>
          <w:lang w:val="fr-FR"/>
        </w:rPr>
        <w:t>’</w:t>
      </w:r>
      <w:r w:rsidR="00A24239" w:rsidRPr="00844541">
        <w:rPr>
          <w:lang w:val="fr-FR"/>
        </w:rPr>
        <w:t>affaire fut réinscrite au rôle du tribunal départemental, l</w:t>
      </w:r>
      <w:r w:rsidR="00844541">
        <w:rPr>
          <w:lang w:val="fr-FR"/>
        </w:rPr>
        <w:t>’</w:t>
      </w:r>
      <w:r w:rsidR="00A24239" w:rsidRPr="00844541">
        <w:rPr>
          <w:lang w:val="fr-FR"/>
        </w:rPr>
        <w:t xml:space="preserve">action </w:t>
      </w:r>
      <w:r w:rsidR="00093A9F" w:rsidRPr="00844541">
        <w:rPr>
          <w:lang w:val="fr-FR"/>
        </w:rPr>
        <w:t>fut complétée</w:t>
      </w:r>
      <w:r w:rsidR="00A24239" w:rsidRPr="00844541">
        <w:rPr>
          <w:lang w:val="fr-FR"/>
        </w:rPr>
        <w:t xml:space="preserve"> afin d</w:t>
      </w:r>
      <w:r w:rsidR="00844541">
        <w:rPr>
          <w:lang w:val="fr-FR"/>
        </w:rPr>
        <w:t>’</w:t>
      </w:r>
      <w:r w:rsidR="00A24239" w:rsidRPr="00844541">
        <w:rPr>
          <w:lang w:val="fr-FR"/>
        </w:rPr>
        <w:t xml:space="preserve">inscrire la paroisse requérante et le troisième requérant comme parties demanderesses </w:t>
      </w:r>
      <w:r w:rsidR="00093A9F" w:rsidRPr="00844541">
        <w:rPr>
          <w:lang w:val="fr-FR"/>
        </w:rPr>
        <w:t>dans</w:t>
      </w:r>
      <w:r w:rsidR="00A24239" w:rsidRPr="00844541">
        <w:rPr>
          <w:lang w:val="fr-FR"/>
        </w:rPr>
        <w:t xml:space="preserve"> la procédure. </w:t>
      </w:r>
      <w:r w:rsidR="00544688" w:rsidRPr="00844541">
        <w:rPr>
          <w:lang w:val="fr-FR"/>
        </w:rPr>
        <w:lastRenderedPageBreak/>
        <w:t>Le 8</w:t>
      </w:r>
      <w:r w:rsidR="00782584" w:rsidRPr="00844541">
        <w:rPr>
          <w:lang w:val="fr-FR"/>
        </w:rPr>
        <w:t> </w:t>
      </w:r>
      <w:r w:rsidR="00544688" w:rsidRPr="00844541">
        <w:rPr>
          <w:lang w:val="fr-FR"/>
        </w:rPr>
        <w:t>novembre 2006, les parties requérant</w:t>
      </w:r>
      <w:r w:rsidR="00D64E18" w:rsidRPr="00844541">
        <w:rPr>
          <w:lang w:val="fr-FR"/>
        </w:rPr>
        <w:t>e</w:t>
      </w:r>
      <w:r w:rsidR="00544688" w:rsidRPr="00844541">
        <w:rPr>
          <w:lang w:val="fr-FR"/>
        </w:rPr>
        <w:t xml:space="preserve">s complétèrent leur action </w:t>
      </w:r>
      <w:r w:rsidR="00540B31" w:rsidRPr="00844541">
        <w:rPr>
          <w:lang w:val="fr-FR"/>
        </w:rPr>
        <w:t>par</w:t>
      </w:r>
      <w:r w:rsidR="00544688" w:rsidRPr="00844541">
        <w:rPr>
          <w:lang w:val="fr-FR"/>
        </w:rPr>
        <w:t xml:space="preserve"> une action en revendication</w:t>
      </w:r>
      <w:r w:rsidR="003349C2" w:rsidRPr="00844541">
        <w:rPr>
          <w:lang w:val="fr-FR"/>
        </w:rPr>
        <w:t xml:space="preserve">, fondée sur </w:t>
      </w:r>
      <w:r w:rsidR="00AE1E07" w:rsidRPr="00844541">
        <w:rPr>
          <w:lang w:val="fr-FR"/>
        </w:rPr>
        <w:t xml:space="preserve">le </w:t>
      </w:r>
      <w:r w:rsidR="003349C2" w:rsidRPr="00844541">
        <w:rPr>
          <w:lang w:val="fr-FR"/>
        </w:rPr>
        <w:t>droit commun,</w:t>
      </w:r>
      <w:r w:rsidR="00544688" w:rsidRPr="00844541">
        <w:rPr>
          <w:lang w:val="fr-FR"/>
        </w:rPr>
        <w:t xml:space="preserve"> de l</w:t>
      </w:r>
      <w:r w:rsidR="00844541">
        <w:rPr>
          <w:lang w:val="fr-FR"/>
        </w:rPr>
        <w:t>’</w:t>
      </w:r>
      <w:r w:rsidR="00544688" w:rsidRPr="00844541">
        <w:rPr>
          <w:lang w:val="fr-FR"/>
        </w:rPr>
        <w:t xml:space="preserve">église en </w:t>
      </w:r>
      <w:r w:rsidR="003349C2" w:rsidRPr="00844541">
        <w:rPr>
          <w:lang w:val="fr-FR"/>
        </w:rPr>
        <w:t>question</w:t>
      </w:r>
      <w:r w:rsidR="00544688" w:rsidRPr="00844541">
        <w:rPr>
          <w:lang w:val="fr-FR"/>
        </w:rPr>
        <w:t>.</w:t>
      </w:r>
    </w:p>
    <w:bookmarkStart w:id="10" w:name="P21"/>
    <w:p w:rsidR="00544688" w:rsidRPr="00844541" w:rsidRDefault="00180A89"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24</w:t>
      </w:r>
      <w:r w:rsidRPr="00844541">
        <w:rPr>
          <w:noProof/>
        </w:rPr>
        <w:fldChar w:fldCharType="end"/>
      </w:r>
      <w:bookmarkEnd w:id="10"/>
      <w:r w:rsidR="00544688" w:rsidRPr="00844541">
        <w:rPr>
          <w:lang w:val="fr-FR"/>
        </w:rPr>
        <w:t>.  Le tribunal départemental demanda aux parties gréco</w:t>
      </w:r>
      <w:r w:rsidR="00AE17FD" w:rsidRPr="00844541">
        <w:rPr>
          <w:lang w:val="fr-FR"/>
        </w:rPr>
        <w:t>-</w:t>
      </w:r>
      <w:r w:rsidR="00544688" w:rsidRPr="00844541">
        <w:rPr>
          <w:lang w:val="fr-FR"/>
        </w:rPr>
        <w:t>catholique et orthodoxe d</w:t>
      </w:r>
      <w:r w:rsidR="00844541">
        <w:rPr>
          <w:lang w:val="fr-FR"/>
        </w:rPr>
        <w:t>’</w:t>
      </w:r>
      <w:r w:rsidR="00544688" w:rsidRPr="00844541">
        <w:rPr>
          <w:lang w:val="fr-FR"/>
        </w:rPr>
        <w:t>organiser une réunion afin de décider du sort de l</w:t>
      </w:r>
      <w:r w:rsidR="00844541">
        <w:rPr>
          <w:lang w:val="fr-FR"/>
        </w:rPr>
        <w:t>’</w:t>
      </w:r>
      <w:r w:rsidR="00544688" w:rsidRPr="00844541">
        <w:rPr>
          <w:lang w:val="fr-FR"/>
        </w:rPr>
        <w:t xml:space="preserve">église en litige et de lui </w:t>
      </w:r>
      <w:r w:rsidR="000C7B11" w:rsidRPr="00844541">
        <w:rPr>
          <w:lang w:val="fr-FR"/>
        </w:rPr>
        <w:t>faire part du</w:t>
      </w:r>
      <w:r w:rsidR="00544688" w:rsidRPr="00844541">
        <w:rPr>
          <w:lang w:val="fr-FR"/>
        </w:rPr>
        <w:t xml:space="preserve"> résultat des négociations avant le 25 avril 2007.</w:t>
      </w:r>
    </w:p>
    <w:p w:rsidR="00544688" w:rsidRPr="00844541" w:rsidRDefault="00AA632A"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25</w:t>
      </w:r>
      <w:r w:rsidRPr="00844541">
        <w:rPr>
          <w:noProof/>
        </w:rPr>
        <w:fldChar w:fldCharType="end"/>
      </w:r>
      <w:r w:rsidR="00544688" w:rsidRPr="00844541">
        <w:rPr>
          <w:lang w:val="fr-FR"/>
        </w:rPr>
        <w:t>.  Le 20 avril 2007, une réunion eut lieu entre les représentants des requérants, de l</w:t>
      </w:r>
      <w:r w:rsidR="00844541">
        <w:rPr>
          <w:lang w:val="fr-FR"/>
        </w:rPr>
        <w:t>’</w:t>
      </w:r>
      <w:r w:rsidR="000C7B11" w:rsidRPr="00844541">
        <w:rPr>
          <w:rFonts w:cstheme="minorHAnsi"/>
          <w:lang w:val="fr-FR"/>
        </w:rPr>
        <w:t>É</w:t>
      </w:r>
      <w:r w:rsidR="00544688" w:rsidRPr="00844541">
        <w:rPr>
          <w:lang w:val="fr-FR"/>
        </w:rPr>
        <w:t>glise orthodoxe et d</w:t>
      </w:r>
      <w:r w:rsidR="009017C9" w:rsidRPr="00844541">
        <w:rPr>
          <w:lang w:val="fr-FR"/>
        </w:rPr>
        <w:t>u</w:t>
      </w:r>
      <w:r w:rsidR="00544688" w:rsidRPr="00844541">
        <w:rPr>
          <w:lang w:val="fr-FR"/>
        </w:rPr>
        <w:t xml:space="preserve"> maire de Lupeni. L</w:t>
      </w:r>
      <w:r w:rsidR="00844541">
        <w:rPr>
          <w:lang w:val="fr-FR"/>
        </w:rPr>
        <w:t>’</w:t>
      </w:r>
      <w:r w:rsidR="000C7B11" w:rsidRPr="00844541">
        <w:rPr>
          <w:rFonts w:cstheme="minorHAnsi"/>
          <w:lang w:val="fr-FR"/>
        </w:rPr>
        <w:t>É</w:t>
      </w:r>
      <w:r w:rsidR="00544688" w:rsidRPr="00844541">
        <w:rPr>
          <w:lang w:val="fr-FR"/>
        </w:rPr>
        <w:t>glise orthodoxe refusa la restitution de l</w:t>
      </w:r>
      <w:r w:rsidR="00844541">
        <w:rPr>
          <w:lang w:val="fr-FR"/>
        </w:rPr>
        <w:t>’</w:t>
      </w:r>
      <w:r w:rsidR="00544688" w:rsidRPr="00844541">
        <w:rPr>
          <w:lang w:val="fr-FR"/>
        </w:rPr>
        <w:t xml:space="preserve">église, </w:t>
      </w:r>
      <w:r w:rsidR="000A305F" w:rsidRPr="00844541">
        <w:rPr>
          <w:lang w:val="fr-FR"/>
        </w:rPr>
        <w:t>arguant</w:t>
      </w:r>
      <w:r w:rsidR="00544688" w:rsidRPr="00844541">
        <w:rPr>
          <w:lang w:val="fr-FR"/>
        </w:rPr>
        <w:t xml:space="preserve"> que la majorité des </w:t>
      </w:r>
      <w:r w:rsidR="00F04B00" w:rsidRPr="00844541">
        <w:rPr>
          <w:lang w:val="fr-FR"/>
        </w:rPr>
        <w:t xml:space="preserve">fidèles </w:t>
      </w:r>
      <w:r w:rsidR="00544688" w:rsidRPr="00844541">
        <w:rPr>
          <w:lang w:val="fr-FR"/>
        </w:rPr>
        <w:t>de la commune étai</w:t>
      </w:r>
      <w:r w:rsidR="000A305F" w:rsidRPr="00844541">
        <w:rPr>
          <w:lang w:val="fr-FR"/>
        </w:rPr>
        <w:t>en</w:t>
      </w:r>
      <w:r w:rsidR="00544688" w:rsidRPr="00844541">
        <w:rPr>
          <w:lang w:val="fr-FR"/>
        </w:rPr>
        <w:t xml:space="preserve">t orthodoxes. La paroisse requérante </w:t>
      </w:r>
      <w:r w:rsidR="000A305F" w:rsidRPr="00844541">
        <w:rPr>
          <w:lang w:val="fr-FR"/>
        </w:rPr>
        <w:t>répliqua</w:t>
      </w:r>
      <w:r w:rsidR="00544688" w:rsidRPr="00844541">
        <w:rPr>
          <w:lang w:val="fr-FR"/>
        </w:rPr>
        <w:t xml:space="preserve"> que le droit de propriété n</w:t>
      </w:r>
      <w:r w:rsidR="00844541">
        <w:rPr>
          <w:lang w:val="fr-FR"/>
        </w:rPr>
        <w:t>’</w:t>
      </w:r>
      <w:r w:rsidR="00544688" w:rsidRPr="00844541">
        <w:rPr>
          <w:lang w:val="fr-FR"/>
        </w:rPr>
        <w:t xml:space="preserve">était pas lié au nombre de </w:t>
      </w:r>
      <w:r w:rsidR="0074649E" w:rsidRPr="00844541">
        <w:rPr>
          <w:lang w:val="fr-FR"/>
        </w:rPr>
        <w:t>pratiquants</w:t>
      </w:r>
      <w:r w:rsidR="00544688" w:rsidRPr="00844541">
        <w:rPr>
          <w:lang w:val="fr-FR"/>
        </w:rPr>
        <w:t xml:space="preserve"> d</w:t>
      </w:r>
      <w:r w:rsidR="00844541">
        <w:rPr>
          <w:lang w:val="fr-FR"/>
        </w:rPr>
        <w:t>’</w:t>
      </w:r>
      <w:r w:rsidR="00544688" w:rsidRPr="00844541">
        <w:rPr>
          <w:lang w:val="fr-FR"/>
        </w:rPr>
        <w:t xml:space="preserve">un culte. </w:t>
      </w:r>
      <w:r w:rsidR="000A305F" w:rsidRPr="00844541">
        <w:rPr>
          <w:lang w:val="fr-FR"/>
        </w:rPr>
        <w:t>L</w:t>
      </w:r>
      <w:r w:rsidR="00544688" w:rsidRPr="00844541">
        <w:rPr>
          <w:lang w:val="fr-FR"/>
        </w:rPr>
        <w:t>e procès</w:t>
      </w:r>
      <w:r w:rsidR="009D3168" w:rsidRPr="00844541">
        <w:rPr>
          <w:lang w:val="fr-FR"/>
        </w:rPr>
        <w:noBreakHyphen/>
      </w:r>
      <w:r w:rsidR="00544688" w:rsidRPr="00844541">
        <w:rPr>
          <w:lang w:val="fr-FR"/>
        </w:rPr>
        <w:t xml:space="preserve">verbal </w:t>
      </w:r>
      <w:r w:rsidR="000A305F" w:rsidRPr="00844541">
        <w:rPr>
          <w:lang w:val="fr-FR"/>
        </w:rPr>
        <w:t xml:space="preserve">de la réunion </w:t>
      </w:r>
      <w:r w:rsidR="00544688" w:rsidRPr="00844541">
        <w:rPr>
          <w:lang w:val="fr-FR"/>
        </w:rPr>
        <w:t>fut transmis au tribunal départemental qui poursuivit l</w:t>
      </w:r>
      <w:r w:rsidR="00844541">
        <w:rPr>
          <w:lang w:val="fr-FR"/>
        </w:rPr>
        <w:t>’</w:t>
      </w:r>
      <w:r w:rsidR="009017C9" w:rsidRPr="00844541">
        <w:rPr>
          <w:lang w:val="fr-FR"/>
        </w:rPr>
        <w:t>examen</w:t>
      </w:r>
      <w:r w:rsidR="00544688" w:rsidRPr="00844541">
        <w:rPr>
          <w:lang w:val="fr-FR"/>
        </w:rPr>
        <w:t xml:space="preserve"> de l</w:t>
      </w:r>
      <w:r w:rsidR="00844541">
        <w:rPr>
          <w:lang w:val="fr-FR"/>
        </w:rPr>
        <w:t>’</w:t>
      </w:r>
      <w:r w:rsidR="00544688" w:rsidRPr="00844541">
        <w:rPr>
          <w:lang w:val="fr-FR"/>
        </w:rPr>
        <w:t>affaire.</w:t>
      </w:r>
    </w:p>
    <w:p w:rsidR="00544688" w:rsidRPr="00844541" w:rsidRDefault="00180A89"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26</w:t>
      </w:r>
      <w:r w:rsidRPr="00844541">
        <w:rPr>
          <w:noProof/>
        </w:rPr>
        <w:fldChar w:fldCharType="end"/>
      </w:r>
      <w:r w:rsidR="00544688" w:rsidRPr="00844541">
        <w:rPr>
          <w:lang w:val="fr-FR"/>
        </w:rPr>
        <w:t>.  Par un jugement du 27 février 2008, le tribunal départemental rejeta l</w:t>
      </w:r>
      <w:r w:rsidR="00844541">
        <w:rPr>
          <w:lang w:val="fr-FR"/>
        </w:rPr>
        <w:t>’</w:t>
      </w:r>
      <w:r w:rsidR="00544688" w:rsidRPr="00844541">
        <w:rPr>
          <w:lang w:val="fr-FR"/>
        </w:rPr>
        <w:t>action des requérants au motif que la paroisse orthodoxe de Lupeni était</w:t>
      </w:r>
      <w:r w:rsidR="00C4799D" w:rsidRPr="00844541">
        <w:rPr>
          <w:lang w:val="fr-FR"/>
        </w:rPr>
        <w:t xml:space="preserve"> </w:t>
      </w:r>
      <w:r w:rsidR="007B0FAD" w:rsidRPr="00844541">
        <w:rPr>
          <w:lang w:val="fr-FR"/>
        </w:rPr>
        <w:t>devenue</w:t>
      </w:r>
      <w:r w:rsidR="00544688" w:rsidRPr="00844541">
        <w:rPr>
          <w:lang w:val="fr-FR"/>
        </w:rPr>
        <w:t xml:space="preserve"> </w:t>
      </w:r>
      <w:r w:rsidR="000A305F" w:rsidRPr="00844541">
        <w:rPr>
          <w:lang w:val="fr-FR"/>
        </w:rPr>
        <w:t xml:space="preserve">légalement </w:t>
      </w:r>
      <w:r w:rsidR="00544688" w:rsidRPr="00844541">
        <w:rPr>
          <w:lang w:val="fr-FR"/>
        </w:rPr>
        <w:t>propriétaire du bien en litige en vertu du décret n</w:t>
      </w:r>
      <w:r w:rsidR="00544688" w:rsidRPr="00844541">
        <w:rPr>
          <w:vertAlign w:val="superscript"/>
          <w:lang w:val="fr-FR"/>
        </w:rPr>
        <w:t>o</w:t>
      </w:r>
      <w:r w:rsidR="007B29EB" w:rsidRPr="00844541">
        <w:rPr>
          <w:lang w:val="fr-FR"/>
        </w:rPr>
        <w:t> </w:t>
      </w:r>
      <w:r w:rsidR="00544688" w:rsidRPr="00844541">
        <w:rPr>
          <w:lang w:val="fr-FR"/>
        </w:rPr>
        <w:t>358/1948. Les requérants interjetèrent appel. Par un arrêt du 26</w:t>
      </w:r>
      <w:r w:rsidR="007B29EB" w:rsidRPr="00844541">
        <w:rPr>
          <w:lang w:val="fr-FR"/>
        </w:rPr>
        <w:t> </w:t>
      </w:r>
      <w:r w:rsidR="00544688" w:rsidRPr="00844541">
        <w:rPr>
          <w:lang w:val="fr-FR"/>
        </w:rPr>
        <w:t>septembre 2008, la cour d</w:t>
      </w:r>
      <w:r w:rsidR="00844541">
        <w:rPr>
          <w:lang w:val="fr-FR"/>
        </w:rPr>
        <w:t>’</w:t>
      </w:r>
      <w:r w:rsidR="00544688" w:rsidRPr="00844541">
        <w:rPr>
          <w:lang w:val="fr-FR"/>
        </w:rPr>
        <w:t>appel annula le jugement du 27 février 2008 pour vice de forme et renvoya l</w:t>
      </w:r>
      <w:r w:rsidR="00844541">
        <w:rPr>
          <w:lang w:val="fr-FR"/>
        </w:rPr>
        <w:t>’</w:t>
      </w:r>
      <w:r w:rsidR="00544688" w:rsidRPr="00844541">
        <w:rPr>
          <w:lang w:val="fr-FR"/>
        </w:rPr>
        <w:t>affaire devant le tribunal départemental.</w:t>
      </w:r>
    </w:p>
    <w:p w:rsidR="00B43D08" w:rsidRPr="00844541" w:rsidRDefault="00AA632A"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27</w:t>
      </w:r>
      <w:r w:rsidRPr="00844541">
        <w:rPr>
          <w:noProof/>
        </w:rPr>
        <w:fldChar w:fldCharType="end"/>
      </w:r>
      <w:r w:rsidR="00544688" w:rsidRPr="00844541">
        <w:rPr>
          <w:lang w:val="fr-FR"/>
        </w:rPr>
        <w:t>.  Par un jugement du 13 février 2009, le tribunal départemental fit droit à l</w:t>
      </w:r>
      <w:r w:rsidR="00844541">
        <w:rPr>
          <w:lang w:val="fr-FR"/>
        </w:rPr>
        <w:t>’</w:t>
      </w:r>
      <w:r w:rsidR="00544688" w:rsidRPr="00844541">
        <w:rPr>
          <w:lang w:val="fr-FR"/>
        </w:rPr>
        <w:t>action des requérants et ordonna la restitution de l</w:t>
      </w:r>
      <w:r w:rsidR="00844541">
        <w:rPr>
          <w:lang w:val="fr-FR"/>
        </w:rPr>
        <w:t>’</w:t>
      </w:r>
      <w:r w:rsidR="00544688" w:rsidRPr="00844541">
        <w:rPr>
          <w:lang w:val="fr-FR"/>
        </w:rPr>
        <w:t xml:space="preserve">église à la paroisse requérante. </w:t>
      </w:r>
      <w:r w:rsidR="008578F7" w:rsidRPr="00844541">
        <w:rPr>
          <w:lang w:val="fr-FR"/>
        </w:rPr>
        <w:t xml:space="preserve">Procédant à </w:t>
      </w:r>
      <w:r w:rsidR="00544688" w:rsidRPr="00844541">
        <w:rPr>
          <w:lang w:val="fr-FR"/>
        </w:rPr>
        <w:t>une comparaison des titres de propriété des parties en litige quant au bien en cause</w:t>
      </w:r>
      <w:r w:rsidR="002367BC" w:rsidRPr="00844541">
        <w:rPr>
          <w:lang w:val="fr-FR"/>
        </w:rPr>
        <w:t>, le tribunal départemental</w:t>
      </w:r>
      <w:r w:rsidR="00480BBA" w:rsidRPr="00844541">
        <w:rPr>
          <w:lang w:val="fr-FR"/>
        </w:rPr>
        <w:t xml:space="preserve"> nota que la partie gréco-catholique était inscrite </w:t>
      </w:r>
      <w:r w:rsidR="000C7B11" w:rsidRPr="00844541">
        <w:rPr>
          <w:lang w:val="fr-FR"/>
        </w:rPr>
        <w:t xml:space="preserve">depuis 1940 </w:t>
      </w:r>
      <w:r w:rsidR="00480BBA" w:rsidRPr="00844541">
        <w:rPr>
          <w:lang w:val="fr-FR"/>
        </w:rPr>
        <w:t>sur le livre foncier en tant que propriétaire du bien et qu</w:t>
      </w:r>
      <w:r w:rsidR="00844541">
        <w:rPr>
          <w:lang w:val="fr-FR"/>
        </w:rPr>
        <w:t>’</w:t>
      </w:r>
      <w:r w:rsidR="00480BBA" w:rsidRPr="00844541">
        <w:rPr>
          <w:lang w:val="fr-FR"/>
        </w:rPr>
        <w:t>en 1967 l</w:t>
      </w:r>
      <w:r w:rsidR="00844541">
        <w:rPr>
          <w:lang w:val="fr-FR"/>
        </w:rPr>
        <w:t>’</w:t>
      </w:r>
      <w:r w:rsidR="00480BBA" w:rsidRPr="00844541">
        <w:rPr>
          <w:lang w:val="fr-FR"/>
        </w:rPr>
        <w:t>église orthodoxe avait inscrit son droit de propriété sur le livre foncier en vertu du décret n</w:t>
      </w:r>
      <w:r w:rsidR="00480BBA" w:rsidRPr="00844541">
        <w:rPr>
          <w:vertAlign w:val="superscript"/>
          <w:lang w:val="fr-FR"/>
        </w:rPr>
        <w:t>o</w:t>
      </w:r>
      <w:r w:rsidR="00480BBA" w:rsidRPr="00844541">
        <w:rPr>
          <w:lang w:val="fr-FR"/>
        </w:rPr>
        <w:t xml:space="preserve"> 358/1948. </w:t>
      </w:r>
      <w:r w:rsidR="000C7B11" w:rsidRPr="00844541">
        <w:rPr>
          <w:lang w:val="fr-FR"/>
        </w:rPr>
        <w:t>Il</w:t>
      </w:r>
      <w:r w:rsidR="00544688" w:rsidRPr="00844541">
        <w:rPr>
          <w:lang w:val="fr-FR"/>
        </w:rPr>
        <w:t xml:space="preserve"> jugea que l</w:t>
      </w:r>
      <w:r w:rsidR="00844541">
        <w:rPr>
          <w:lang w:val="fr-FR"/>
        </w:rPr>
        <w:t>’</w:t>
      </w:r>
      <w:r w:rsidR="00544688" w:rsidRPr="00844541">
        <w:rPr>
          <w:lang w:val="fr-FR"/>
        </w:rPr>
        <w:t>abrogation du décret n</w:t>
      </w:r>
      <w:r w:rsidR="00544688" w:rsidRPr="00844541">
        <w:rPr>
          <w:vertAlign w:val="superscript"/>
          <w:lang w:val="fr-FR"/>
        </w:rPr>
        <w:t>o</w:t>
      </w:r>
      <w:r w:rsidR="00544688" w:rsidRPr="00844541">
        <w:rPr>
          <w:lang w:val="fr-FR"/>
        </w:rPr>
        <w:t xml:space="preserve"> 358/1948 avait </w:t>
      </w:r>
      <w:r w:rsidR="000C7B11" w:rsidRPr="00844541">
        <w:rPr>
          <w:lang w:val="fr-FR"/>
        </w:rPr>
        <w:t xml:space="preserve">eu </w:t>
      </w:r>
      <w:r w:rsidR="00544688" w:rsidRPr="00844541">
        <w:rPr>
          <w:lang w:val="fr-FR"/>
        </w:rPr>
        <w:t>en l</w:t>
      </w:r>
      <w:r w:rsidR="00844541">
        <w:rPr>
          <w:lang w:val="fr-FR"/>
        </w:rPr>
        <w:t>’</w:t>
      </w:r>
      <w:r w:rsidR="00544688" w:rsidRPr="00844541">
        <w:rPr>
          <w:lang w:val="fr-FR"/>
        </w:rPr>
        <w:t xml:space="preserve">espèce comme effet la cessation du droit de propriété de </w:t>
      </w:r>
      <w:r w:rsidR="00722CD4" w:rsidRPr="00844541">
        <w:rPr>
          <w:lang w:val="fr-FR"/>
        </w:rPr>
        <w:t xml:space="preserve">la partie </w:t>
      </w:r>
      <w:r w:rsidR="00544688" w:rsidRPr="00844541">
        <w:rPr>
          <w:lang w:val="fr-FR"/>
        </w:rPr>
        <w:t xml:space="preserve">orthodoxe sur </w:t>
      </w:r>
      <w:r w:rsidR="00AE1E07" w:rsidRPr="00844541">
        <w:rPr>
          <w:lang w:val="fr-FR"/>
        </w:rPr>
        <w:t xml:space="preserve">le bien </w:t>
      </w:r>
      <w:r w:rsidR="00544688" w:rsidRPr="00844541">
        <w:rPr>
          <w:lang w:val="fr-FR"/>
        </w:rPr>
        <w:t xml:space="preserve">en litige. Il ajouta que la paroisse requérante </w:t>
      </w:r>
      <w:r w:rsidR="00AE1E07" w:rsidRPr="00844541">
        <w:rPr>
          <w:lang w:val="fr-FR"/>
        </w:rPr>
        <w:t>n</w:t>
      </w:r>
      <w:r w:rsidR="00844541">
        <w:rPr>
          <w:lang w:val="fr-FR"/>
        </w:rPr>
        <w:t>’</w:t>
      </w:r>
      <w:r w:rsidR="00AE1E07" w:rsidRPr="00844541">
        <w:rPr>
          <w:lang w:val="fr-FR"/>
        </w:rPr>
        <w:t>avait pas de</w:t>
      </w:r>
      <w:r w:rsidR="00544688" w:rsidRPr="00844541">
        <w:rPr>
          <w:lang w:val="fr-FR"/>
        </w:rPr>
        <w:t xml:space="preserve"> lieu de culte</w:t>
      </w:r>
      <w:r w:rsidR="00AE1E07" w:rsidRPr="00844541">
        <w:rPr>
          <w:lang w:val="fr-FR"/>
        </w:rPr>
        <w:t xml:space="preserve"> et qu</w:t>
      </w:r>
      <w:r w:rsidR="00844541">
        <w:rPr>
          <w:lang w:val="fr-FR"/>
        </w:rPr>
        <w:t>’</w:t>
      </w:r>
      <w:r w:rsidR="00AE1E07" w:rsidRPr="00844541">
        <w:rPr>
          <w:lang w:val="fr-FR"/>
        </w:rPr>
        <w:t>elle était</w:t>
      </w:r>
      <w:r w:rsidR="00544688" w:rsidRPr="00844541">
        <w:rPr>
          <w:lang w:val="fr-FR"/>
        </w:rPr>
        <w:t xml:space="preserve"> obligé</w:t>
      </w:r>
      <w:r w:rsidR="00A26143" w:rsidRPr="00844541">
        <w:rPr>
          <w:lang w:val="fr-FR"/>
        </w:rPr>
        <w:t>e</w:t>
      </w:r>
      <w:r w:rsidR="00544688" w:rsidRPr="00844541">
        <w:rPr>
          <w:lang w:val="fr-FR"/>
        </w:rPr>
        <w:t xml:space="preserve"> </w:t>
      </w:r>
      <w:r w:rsidR="00A26143" w:rsidRPr="00844541">
        <w:rPr>
          <w:lang w:val="fr-FR"/>
        </w:rPr>
        <w:t>de</w:t>
      </w:r>
      <w:r w:rsidR="00544688" w:rsidRPr="00844541">
        <w:rPr>
          <w:lang w:val="fr-FR"/>
        </w:rPr>
        <w:t xml:space="preserve"> faire appel à l</w:t>
      </w:r>
      <w:r w:rsidR="00844541">
        <w:rPr>
          <w:lang w:val="fr-FR"/>
        </w:rPr>
        <w:t>’</w:t>
      </w:r>
      <w:r w:rsidR="00544688" w:rsidRPr="00844541">
        <w:rPr>
          <w:lang w:val="fr-FR"/>
        </w:rPr>
        <w:t>église romano-catholique qui lui louait ses locaux pour le service religieux.</w:t>
      </w:r>
    </w:p>
    <w:p w:rsidR="0087697B" w:rsidRPr="00844541" w:rsidRDefault="00AA632A"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28</w:t>
      </w:r>
      <w:r w:rsidRPr="00844541">
        <w:rPr>
          <w:noProof/>
        </w:rPr>
        <w:fldChar w:fldCharType="end"/>
      </w:r>
      <w:r w:rsidR="00544688" w:rsidRPr="00844541">
        <w:rPr>
          <w:lang w:val="fr-FR"/>
        </w:rPr>
        <w:t>.  La paroisse orthodoxe interjeta appel de ce jugement.</w:t>
      </w:r>
    </w:p>
    <w:bookmarkStart w:id="11" w:name="P29"/>
    <w:p w:rsidR="00B43D08" w:rsidRPr="00844541" w:rsidRDefault="00AA632A"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29</w:t>
      </w:r>
      <w:r w:rsidRPr="00844541">
        <w:rPr>
          <w:noProof/>
        </w:rPr>
        <w:fldChar w:fldCharType="end"/>
      </w:r>
      <w:bookmarkEnd w:id="11"/>
      <w:r w:rsidR="005A0DB0" w:rsidRPr="00844541">
        <w:rPr>
          <w:lang w:val="fr-FR"/>
        </w:rPr>
        <w:t>.  </w:t>
      </w:r>
      <w:r w:rsidR="00544688" w:rsidRPr="00844541">
        <w:rPr>
          <w:lang w:val="fr-FR"/>
        </w:rPr>
        <w:t>Par un arrêt du 11 juin 2010</w:t>
      </w:r>
      <w:r w:rsidR="0034234B" w:rsidRPr="00844541">
        <w:rPr>
          <w:lang w:val="fr-FR"/>
        </w:rPr>
        <w:t>, la cour d</w:t>
      </w:r>
      <w:r w:rsidR="00844541">
        <w:rPr>
          <w:lang w:val="fr-FR"/>
        </w:rPr>
        <w:t>’</w:t>
      </w:r>
      <w:r w:rsidR="0034234B" w:rsidRPr="00844541">
        <w:rPr>
          <w:lang w:val="fr-FR"/>
        </w:rPr>
        <w:t>appel accueillit l</w:t>
      </w:r>
      <w:r w:rsidR="00844541">
        <w:rPr>
          <w:lang w:val="fr-FR"/>
        </w:rPr>
        <w:t>’</w:t>
      </w:r>
      <w:r w:rsidR="00544688" w:rsidRPr="00844541">
        <w:rPr>
          <w:lang w:val="fr-FR"/>
        </w:rPr>
        <w:t>appel et rejeta l</w:t>
      </w:r>
      <w:r w:rsidR="00844541">
        <w:rPr>
          <w:lang w:val="fr-FR"/>
        </w:rPr>
        <w:t>’</w:t>
      </w:r>
      <w:r w:rsidR="00544688" w:rsidRPr="00844541">
        <w:rPr>
          <w:lang w:val="fr-FR"/>
        </w:rPr>
        <w:t xml:space="preserve">action des requérants. </w:t>
      </w:r>
      <w:r w:rsidR="0093409F" w:rsidRPr="00844541">
        <w:rPr>
          <w:lang w:val="fr-FR"/>
        </w:rPr>
        <w:t>Elle décrivit le déroulement de la procédure et indiqua que l</w:t>
      </w:r>
      <w:r w:rsidR="00844541">
        <w:rPr>
          <w:lang w:val="fr-FR"/>
        </w:rPr>
        <w:t>’</w:t>
      </w:r>
      <w:r w:rsidR="0093409F" w:rsidRPr="00844541">
        <w:rPr>
          <w:lang w:val="fr-FR"/>
        </w:rPr>
        <w:t>affaire avait été engagée par le deuxième requérant en 2001 et qu</w:t>
      </w:r>
      <w:r w:rsidR="00844541">
        <w:rPr>
          <w:lang w:val="fr-FR"/>
        </w:rPr>
        <w:t>’</w:t>
      </w:r>
      <w:r w:rsidR="0093409F" w:rsidRPr="00844541">
        <w:rPr>
          <w:lang w:val="fr-FR"/>
        </w:rPr>
        <w:t xml:space="preserve">elle avait été complétée en juillet 2006, après son réinscription au rôle du tribunal départemental, par les deux autres requérants. </w:t>
      </w:r>
      <w:r w:rsidR="00AE1E07" w:rsidRPr="00844541">
        <w:rPr>
          <w:lang w:val="fr-FR"/>
        </w:rPr>
        <w:t>Sur la base des preuves versées au dossier, e</w:t>
      </w:r>
      <w:r w:rsidR="000C7B11" w:rsidRPr="00844541">
        <w:rPr>
          <w:lang w:val="fr-FR"/>
        </w:rPr>
        <w:t>lle</w:t>
      </w:r>
      <w:r w:rsidR="00AF5D2A" w:rsidRPr="00844541">
        <w:rPr>
          <w:lang w:val="fr-FR"/>
        </w:rPr>
        <w:t xml:space="preserve"> constata tout d</w:t>
      </w:r>
      <w:r w:rsidR="00844541">
        <w:rPr>
          <w:lang w:val="fr-FR"/>
        </w:rPr>
        <w:t>’</w:t>
      </w:r>
      <w:r w:rsidR="00AF5D2A" w:rsidRPr="00844541">
        <w:rPr>
          <w:lang w:val="fr-FR"/>
        </w:rPr>
        <w:t xml:space="preserve">abord </w:t>
      </w:r>
      <w:r w:rsidR="00B33CDB" w:rsidRPr="00844541">
        <w:rPr>
          <w:lang w:val="fr-FR"/>
        </w:rPr>
        <w:t>que l</w:t>
      </w:r>
      <w:r w:rsidR="00844541">
        <w:rPr>
          <w:lang w:val="fr-FR"/>
        </w:rPr>
        <w:t>’</w:t>
      </w:r>
      <w:r w:rsidR="00AF5D2A" w:rsidRPr="00844541">
        <w:rPr>
          <w:lang w:val="fr-FR"/>
        </w:rPr>
        <w:t>église revendiquée et deux maisons paroissiales de Lupeni avaient été construites entre 1906</w:t>
      </w:r>
      <w:r w:rsidR="00B33CDB" w:rsidRPr="00844541">
        <w:rPr>
          <w:lang w:val="fr-FR"/>
        </w:rPr>
        <w:t xml:space="preserve"> et 1920 pa</w:t>
      </w:r>
      <w:r w:rsidR="00AF5D2A" w:rsidRPr="00844541">
        <w:rPr>
          <w:lang w:val="fr-FR"/>
        </w:rPr>
        <w:t xml:space="preserve">r des orthodoxes </w:t>
      </w:r>
      <w:r w:rsidR="00364059" w:rsidRPr="00844541">
        <w:rPr>
          <w:lang w:val="fr-FR"/>
        </w:rPr>
        <w:t xml:space="preserve">de rite oriental </w:t>
      </w:r>
      <w:r w:rsidR="00AF5D2A" w:rsidRPr="00844541">
        <w:rPr>
          <w:lang w:val="fr-FR"/>
        </w:rPr>
        <w:t xml:space="preserve">et des </w:t>
      </w:r>
      <w:r w:rsidR="00B33CDB" w:rsidRPr="00844541">
        <w:rPr>
          <w:lang w:val="fr-FR"/>
        </w:rPr>
        <w:t>gréco</w:t>
      </w:r>
      <w:r w:rsidR="001565F0" w:rsidRPr="00844541">
        <w:rPr>
          <w:lang w:val="fr-FR"/>
        </w:rPr>
        <w:noBreakHyphen/>
      </w:r>
      <w:r w:rsidR="00AF5D2A" w:rsidRPr="00844541">
        <w:rPr>
          <w:lang w:val="fr-FR"/>
        </w:rPr>
        <w:t>catholiques</w:t>
      </w:r>
      <w:r w:rsidR="00C44A32" w:rsidRPr="00844541">
        <w:rPr>
          <w:lang w:val="fr-FR"/>
        </w:rPr>
        <w:t>, et que, a</w:t>
      </w:r>
      <w:r w:rsidR="00AF5D2A" w:rsidRPr="00844541">
        <w:rPr>
          <w:lang w:val="fr-FR"/>
        </w:rPr>
        <w:t>près sa construction, l</w:t>
      </w:r>
      <w:r w:rsidR="00844541">
        <w:rPr>
          <w:lang w:val="fr-FR"/>
        </w:rPr>
        <w:t>’</w:t>
      </w:r>
      <w:r w:rsidR="00AF5D2A" w:rsidRPr="00844541">
        <w:rPr>
          <w:lang w:val="fr-FR"/>
        </w:rPr>
        <w:t xml:space="preserve">église avait </w:t>
      </w:r>
      <w:r w:rsidR="00C44A32" w:rsidRPr="00844541">
        <w:rPr>
          <w:lang w:val="fr-FR"/>
        </w:rPr>
        <w:t xml:space="preserve">abrité </w:t>
      </w:r>
      <w:r w:rsidR="004F45EB" w:rsidRPr="00844541">
        <w:rPr>
          <w:lang w:val="fr-FR"/>
        </w:rPr>
        <w:t xml:space="preserve">alternativement </w:t>
      </w:r>
      <w:r w:rsidR="00AF5D2A" w:rsidRPr="00844541">
        <w:rPr>
          <w:lang w:val="fr-FR"/>
        </w:rPr>
        <w:t>l</w:t>
      </w:r>
      <w:r w:rsidR="004F45EB" w:rsidRPr="00844541">
        <w:rPr>
          <w:lang w:val="fr-FR"/>
        </w:rPr>
        <w:t xml:space="preserve">es </w:t>
      </w:r>
      <w:r w:rsidR="00AF5D2A" w:rsidRPr="00844541">
        <w:rPr>
          <w:lang w:val="fr-FR"/>
        </w:rPr>
        <w:t>office</w:t>
      </w:r>
      <w:r w:rsidR="004F45EB" w:rsidRPr="00844541">
        <w:rPr>
          <w:lang w:val="fr-FR"/>
        </w:rPr>
        <w:t>s</w:t>
      </w:r>
      <w:r w:rsidR="00AF5D2A" w:rsidRPr="00844541">
        <w:rPr>
          <w:lang w:val="fr-FR"/>
        </w:rPr>
        <w:t xml:space="preserve"> des deux cultes. </w:t>
      </w:r>
      <w:r w:rsidR="00C44A32" w:rsidRPr="00844541">
        <w:rPr>
          <w:lang w:val="fr-FR"/>
        </w:rPr>
        <w:t>Elle</w:t>
      </w:r>
      <w:r w:rsidR="00D13C23" w:rsidRPr="00844541">
        <w:rPr>
          <w:lang w:val="fr-FR"/>
        </w:rPr>
        <w:t xml:space="preserve"> pri</w:t>
      </w:r>
      <w:r w:rsidR="00A26143" w:rsidRPr="00844541">
        <w:rPr>
          <w:lang w:val="fr-FR"/>
        </w:rPr>
        <w:t>t</w:t>
      </w:r>
      <w:r w:rsidR="00D13C23" w:rsidRPr="00844541">
        <w:rPr>
          <w:lang w:val="fr-FR"/>
        </w:rPr>
        <w:t xml:space="preserve"> note </w:t>
      </w:r>
      <w:r w:rsidR="00A26143" w:rsidRPr="00844541">
        <w:rPr>
          <w:lang w:val="fr-FR"/>
        </w:rPr>
        <w:t xml:space="preserve">du fait </w:t>
      </w:r>
      <w:r w:rsidR="00D13C23" w:rsidRPr="00844541">
        <w:rPr>
          <w:lang w:val="fr-FR"/>
        </w:rPr>
        <w:t>qu</w:t>
      </w:r>
      <w:r w:rsidR="00C44A32" w:rsidRPr="00844541">
        <w:rPr>
          <w:lang w:val="fr-FR"/>
        </w:rPr>
        <w:t xml:space="preserve">e, </w:t>
      </w:r>
      <w:r w:rsidR="00D13C23" w:rsidRPr="00844541">
        <w:rPr>
          <w:lang w:val="fr-FR"/>
        </w:rPr>
        <w:t xml:space="preserve">en 1948, les </w:t>
      </w:r>
      <w:r w:rsidR="00C44A32" w:rsidRPr="00844541">
        <w:rPr>
          <w:lang w:val="fr-FR"/>
        </w:rPr>
        <w:t xml:space="preserve">fidèles </w:t>
      </w:r>
      <w:r w:rsidR="00D13C23" w:rsidRPr="00844541">
        <w:rPr>
          <w:lang w:val="fr-FR"/>
        </w:rPr>
        <w:t xml:space="preserve">gréco-catholiques avaient été contraints </w:t>
      </w:r>
      <w:r w:rsidR="00A26143" w:rsidRPr="00844541">
        <w:rPr>
          <w:lang w:val="fr-FR"/>
        </w:rPr>
        <w:t>de</w:t>
      </w:r>
      <w:r w:rsidR="00D13C23" w:rsidRPr="00844541">
        <w:rPr>
          <w:lang w:val="fr-FR"/>
        </w:rPr>
        <w:t xml:space="preserve"> </w:t>
      </w:r>
      <w:r w:rsidR="00614496" w:rsidRPr="00844541">
        <w:rPr>
          <w:lang w:val="fr-FR"/>
        </w:rPr>
        <w:t>« </w:t>
      </w:r>
      <w:r w:rsidR="00D13C23" w:rsidRPr="00844541">
        <w:rPr>
          <w:lang w:val="fr-FR"/>
        </w:rPr>
        <w:t>passer</w:t>
      </w:r>
      <w:r w:rsidR="00614496" w:rsidRPr="00844541">
        <w:rPr>
          <w:lang w:val="fr-FR"/>
        </w:rPr>
        <w:t> »</w:t>
      </w:r>
      <w:r w:rsidR="00D13C23" w:rsidRPr="00844541">
        <w:rPr>
          <w:lang w:val="fr-FR"/>
        </w:rPr>
        <w:t xml:space="preserve"> au culte orthodoxe et que l</w:t>
      </w:r>
      <w:r w:rsidR="00844541">
        <w:rPr>
          <w:lang w:val="fr-FR"/>
        </w:rPr>
        <w:t>’</w:t>
      </w:r>
      <w:r w:rsidR="00D13C23" w:rsidRPr="00844541">
        <w:rPr>
          <w:lang w:val="fr-FR"/>
        </w:rPr>
        <w:t>église était passé</w:t>
      </w:r>
      <w:r w:rsidR="00113EC5" w:rsidRPr="00844541">
        <w:rPr>
          <w:lang w:val="fr-FR"/>
        </w:rPr>
        <w:t>e</w:t>
      </w:r>
      <w:r w:rsidR="00D13C23" w:rsidRPr="00844541">
        <w:rPr>
          <w:lang w:val="fr-FR"/>
        </w:rPr>
        <w:t xml:space="preserve"> dans le patrimoine de l</w:t>
      </w:r>
      <w:r w:rsidR="00844541">
        <w:rPr>
          <w:lang w:val="fr-FR"/>
        </w:rPr>
        <w:t>’</w:t>
      </w:r>
      <w:r w:rsidR="00C44A32" w:rsidRPr="00844541">
        <w:rPr>
          <w:rFonts w:cstheme="minorHAnsi"/>
          <w:lang w:val="fr-FR"/>
        </w:rPr>
        <w:t>É</w:t>
      </w:r>
      <w:r w:rsidR="00D13C23" w:rsidRPr="00844541">
        <w:rPr>
          <w:lang w:val="fr-FR"/>
        </w:rPr>
        <w:t xml:space="preserve">glise </w:t>
      </w:r>
      <w:r w:rsidR="00D13C23" w:rsidRPr="00844541">
        <w:rPr>
          <w:lang w:val="fr-FR"/>
        </w:rPr>
        <w:lastRenderedPageBreak/>
        <w:t>orthodoxe qui l</w:t>
      </w:r>
      <w:r w:rsidR="00844541">
        <w:rPr>
          <w:lang w:val="fr-FR"/>
        </w:rPr>
        <w:t>’</w:t>
      </w:r>
      <w:r w:rsidR="00D13C23" w:rsidRPr="00844541">
        <w:rPr>
          <w:lang w:val="fr-FR"/>
        </w:rPr>
        <w:t>avait entretenu</w:t>
      </w:r>
      <w:r w:rsidR="00A26143" w:rsidRPr="00844541">
        <w:rPr>
          <w:lang w:val="fr-FR"/>
        </w:rPr>
        <w:t>e</w:t>
      </w:r>
      <w:r w:rsidR="00D13C23" w:rsidRPr="00844541">
        <w:rPr>
          <w:lang w:val="fr-FR"/>
        </w:rPr>
        <w:t xml:space="preserve"> et </w:t>
      </w:r>
      <w:r w:rsidR="00C44A32" w:rsidRPr="00844541">
        <w:rPr>
          <w:lang w:val="fr-FR"/>
        </w:rPr>
        <w:t xml:space="preserve">qui </w:t>
      </w:r>
      <w:r w:rsidR="00D13C23" w:rsidRPr="00844541">
        <w:rPr>
          <w:lang w:val="fr-FR"/>
        </w:rPr>
        <w:t xml:space="preserve">avait réalisé des travaux </w:t>
      </w:r>
      <w:r w:rsidR="00C44A32" w:rsidRPr="00844541">
        <w:rPr>
          <w:lang w:val="fr-FR"/>
        </w:rPr>
        <w:t>d</w:t>
      </w:r>
      <w:r w:rsidR="00844541">
        <w:rPr>
          <w:lang w:val="fr-FR"/>
        </w:rPr>
        <w:t>’</w:t>
      </w:r>
      <w:r w:rsidR="00D13C23" w:rsidRPr="00844541">
        <w:rPr>
          <w:lang w:val="fr-FR"/>
        </w:rPr>
        <w:t>amélioration.</w:t>
      </w:r>
    </w:p>
    <w:p w:rsidR="00D13C23"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30</w:t>
      </w:r>
      <w:r w:rsidRPr="00844541">
        <w:rPr>
          <w:noProof/>
        </w:rPr>
        <w:fldChar w:fldCharType="end"/>
      </w:r>
      <w:r w:rsidR="00FA1F4A" w:rsidRPr="00844541">
        <w:rPr>
          <w:lang w:val="fr-FR"/>
        </w:rPr>
        <w:t>.  </w:t>
      </w:r>
      <w:r w:rsidR="00D13C23" w:rsidRPr="00844541">
        <w:rPr>
          <w:lang w:val="fr-FR"/>
        </w:rPr>
        <w:t>La</w:t>
      </w:r>
      <w:r w:rsidR="00113EC5" w:rsidRPr="00844541">
        <w:rPr>
          <w:lang w:val="fr-FR"/>
        </w:rPr>
        <w:t xml:space="preserve"> cour d</w:t>
      </w:r>
      <w:r w:rsidR="00844541">
        <w:rPr>
          <w:lang w:val="fr-FR"/>
        </w:rPr>
        <w:t>’</w:t>
      </w:r>
      <w:r w:rsidR="00113EC5" w:rsidRPr="00844541">
        <w:rPr>
          <w:lang w:val="fr-FR"/>
        </w:rPr>
        <w:t>appel interrogea</w:t>
      </w:r>
      <w:r w:rsidR="00D13C23" w:rsidRPr="00844541">
        <w:rPr>
          <w:lang w:val="fr-FR"/>
        </w:rPr>
        <w:t xml:space="preserve"> trois témoins</w:t>
      </w:r>
      <w:r w:rsidR="00104A83" w:rsidRPr="00844541">
        <w:rPr>
          <w:lang w:val="fr-FR"/>
        </w:rPr>
        <w:t>,</w:t>
      </w:r>
      <w:r w:rsidR="00D13C23" w:rsidRPr="00844541">
        <w:rPr>
          <w:lang w:val="fr-FR"/>
        </w:rPr>
        <w:t xml:space="preserve"> dont deux orthodoxes qui déclarèrent qu</w:t>
      </w:r>
      <w:r w:rsidR="00844541">
        <w:rPr>
          <w:lang w:val="fr-FR"/>
        </w:rPr>
        <w:t>’</w:t>
      </w:r>
      <w:r w:rsidR="00D13C23" w:rsidRPr="00844541">
        <w:rPr>
          <w:lang w:val="fr-FR"/>
        </w:rPr>
        <w:t>ils n</w:t>
      </w:r>
      <w:r w:rsidR="00844541">
        <w:rPr>
          <w:lang w:val="fr-FR"/>
        </w:rPr>
        <w:t>’</w:t>
      </w:r>
      <w:r w:rsidR="00D13C23" w:rsidRPr="00844541">
        <w:rPr>
          <w:lang w:val="fr-FR"/>
        </w:rPr>
        <w:t>entendai</w:t>
      </w:r>
      <w:r w:rsidR="00BA7649" w:rsidRPr="00844541">
        <w:rPr>
          <w:lang w:val="fr-FR"/>
        </w:rPr>
        <w:t>en</w:t>
      </w:r>
      <w:r w:rsidR="00D13C23" w:rsidRPr="00844541">
        <w:rPr>
          <w:lang w:val="fr-FR"/>
        </w:rPr>
        <w:t>t plus revenir à présent au culte gréco</w:t>
      </w:r>
      <w:r w:rsidR="001565F0" w:rsidRPr="00844541">
        <w:rPr>
          <w:lang w:val="fr-FR"/>
        </w:rPr>
        <w:noBreakHyphen/>
      </w:r>
      <w:r w:rsidR="00D13C23" w:rsidRPr="00844541">
        <w:rPr>
          <w:lang w:val="fr-FR"/>
        </w:rPr>
        <w:t xml:space="preserve">catholique auxquels ils avaient appartenu avant 1948. </w:t>
      </w:r>
      <w:r w:rsidR="00DA30F0" w:rsidRPr="00844541">
        <w:rPr>
          <w:lang w:val="fr-FR"/>
        </w:rPr>
        <w:t xml:space="preserve">Le troisième </w:t>
      </w:r>
      <w:r w:rsidR="00BA7649" w:rsidRPr="00844541">
        <w:rPr>
          <w:lang w:val="fr-FR"/>
        </w:rPr>
        <w:t>témoin</w:t>
      </w:r>
      <w:r w:rsidR="00D13C23" w:rsidRPr="00844541">
        <w:rPr>
          <w:lang w:val="fr-FR"/>
        </w:rPr>
        <w:t xml:space="preserve"> indiqu</w:t>
      </w:r>
      <w:r w:rsidR="005F2802" w:rsidRPr="00844541">
        <w:rPr>
          <w:lang w:val="fr-FR"/>
        </w:rPr>
        <w:t>a</w:t>
      </w:r>
      <w:r w:rsidR="00D13C23" w:rsidRPr="00844541">
        <w:rPr>
          <w:lang w:val="fr-FR"/>
        </w:rPr>
        <w:t xml:space="preserve"> qu</w:t>
      </w:r>
      <w:r w:rsidR="00844541">
        <w:rPr>
          <w:lang w:val="fr-FR"/>
        </w:rPr>
        <w:t>’</w:t>
      </w:r>
      <w:r w:rsidR="00D13C23" w:rsidRPr="00844541">
        <w:rPr>
          <w:lang w:val="fr-FR"/>
        </w:rPr>
        <w:t xml:space="preserve">elle </w:t>
      </w:r>
      <w:r w:rsidR="002A341F" w:rsidRPr="00844541">
        <w:rPr>
          <w:lang w:val="fr-FR"/>
        </w:rPr>
        <w:t>faisait partie du nombre</w:t>
      </w:r>
      <w:r w:rsidR="00096418" w:rsidRPr="00844541">
        <w:rPr>
          <w:lang w:val="fr-FR"/>
        </w:rPr>
        <w:t>, restreint d</w:t>
      </w:r>
      <w:r w:rsidR="00844541">
        <w:rPr>
          <w:lang w:val="fr-FR"/>
        </w:rPr>
        <w:t>’</w:t>
      </w:r>
      <w:r w:rsidR="00096418" w:rsidRPr="00844541">
        <w:rPr>
          <w:lang w:val="fr-FR"/>
        </w:rPr>
        <w:t>après elle,</w:t>
      </w:r>
      <w:r w:rsidR="002A341F" w:rsidRPr="00844541">
        <w:rPr>
          <w:lang w:val="fr-FR"/>
        </w:rPr>
        <w:t xml:space="preserve"> de</w:t>
      </w:r>
      <w:r w:rsidR="00096418" w:rsidRPr="00844541">
        <w:rPr>
          <w:lang w:val="fr-FR"/>
        </w:rPr>
        <w:t>s</w:t>
      </w:r>
      <w:r w:rsidR="00D13C23" w:rsidRPr="00844541">
        <w:rPr>
          <w:lang w:val="fr-FR"/>
        </w:rPr>
        <w:t xml:space="preserve"> gréco-catholique</w:t>
      </w:r>
      <w:r w:rsidR="002A341F" w:rsidRPr="00844541">
        <w:rPr>
          <w:lang w:val="fr-FR"/>
        </w:rPr>
        <w:t>s</w:t>
      </w:r>
      <w:r w:rsidR="00D13C23" w:rsidRPr="00844541">
        <w:rPr>
          <w:lang w:val="fr-FR"/>
        </w:rPr>
        <w:t xml:space="preserve"> </w:t>
      </w:r>
      <w:r w:rsidR="002A341F" w:rsidRPr="00844541">
        <w:rPr>
          <w:lang w:val="fr-FR"/>
        </w:rPr>
        <w:t>de</w:t>
      </w:r>
      <w:r w:rsidR="00E730CC" w:rsidRPr="00844541">
        <w:rPr>
          <w:lang w:val="fr-FR"/>
        </w:rPr>
        <w:t xml:space="preserve"> Lupeni</w:t>
      </w:r>
      <w:r w:rsidR="00D13C23" w:rsidRPr="00844541">
        <w:rPr>
          <w:lang w:val="fr-FR"/>
        </w:rPr>
        <w:t>. La cour d</w:t>
      </w:r>
      <w:r w:rsidR="00844541">
        <w:rPr>
          <w:lang w:val="fr-FR"/>
        </w:rPr>
        <w:t>’</w:t>
      </w:r>
      <w:r w:rsidR="00D13C23" w:rsidRPr="00844541">
        <w:rPr>
          <w:lang w:val="fr-FR"/>
        </w:rPr>
        <w:t xml:space="preserve">appel nota que les déclarations de ces témoins </w:t>
      </w:r>
      <w:r w:rsidR="00E730CC" w:rsidRPr="00844541">
        <w:rPr>
          <w:lang w:val="fr-FR"/>
        </w:rPr>
        <w:t xml:space="preserve">confortaient </w:t>
      </w:r>
      <w:r w:rsidR="00D13C23" w:rsidRPr="00844541">
        <w:rPr>
          <w:lang w:val="fr-FR"/>
        </w:rPr>
        <w:t xml:space="preserve">les </w:t>
      </w:r>
      <w:r w:rsidR="00E730CC" w:rsidRPr="00844541">
        <w:rPr>
          <w:lang w:val="fr-FR"/>
        </w:rPr>
        <w:t xml:space="preserve">données </w:t>
      </w:r>
      <w:r w:rsidR="00D13C23" w:rsidRPr="00844541">
        <w:rPr>
          <w:lang w:val="fr-FR"/>
        </w:rPr>
        <w:t xml:space="preserve">statistiques </w:t>
      </w:r>
      <w:r w:rsidR="00C80360" w:rsidRPr="00844541">
        <w:rPr>
          <w:lang w:val="fr-FR"/>
        </w:rPr>
        <w:t xml:space="preserve">qui </w:t>
      </w:r>
      <w:r w:rsidR="00DA30F0" w:rsidRPr="00844541">
        <w:rPr>
          <w:lang w:val="fr-FR"/>
        </w:rPr>
        <w:t>montraient</w:t>
      </w:r>
      <w:r w:rsidR="00C80360" w:rsidRPr="00844541">
        <w:rPr>
          <w:lang w:val="fr-FR"/>
        </w:rPr>
        <w:t xml:space="preserve"> qu</w:t>
      </w:r>
      <w:r w:rsidR="00844541">
        <w:rPr>
          <w:lang w:val="fr-FR"/>
        </w:rPr>
        <w:t>’</w:t>
      </w:r>
      <w:r w:rsidR="00C80360" w:rsidRPr="00844541">
        <w:rPr>
          <w:lang w:val="fr-FR"/>
        </w:rPr>
        <w:t>à Lupeni le nombre de</w:t>
      </w:r>
      <w:r w:rsidR="00104A83" w:rsidRPr="00844541">
        <w:rPr>
          <w:lang w:val="fr-FR"/>
        </w:rPr>
        <w:t xml:space="preserve">s </w:t>
      </w:r>
      <w:r w:rsidR="00C80360" w:rsidRPr="00844541">
        <w:rPr>
          <w:lang w:val="fr-FR"/>
        </w:rPr>
        <w:t>orthodoxes était supéri</w:t>
      </w:r>
      <w:r w:rsidR="00DA30F0" w:rsidRPr="00844541">
        <w:rPr>
          <w:lang w:val="fr-FR"/>
        </w:rPr>
        <w:t>eu</w:t>
      </w:r>
      <w:r w:rsidR="00C80360" w:rsidRPr="00844541">
        <w:rPr>
          <w:lang w:val="fr-FR"/>
        </w:rPr>
        <w:t>r à celui des gréco-catholiques.</w:t>
      </w:r>
    </w:p>
    <w:p w:rsidR="00544688" w:rsidRPr="00844541" w:rsidRDefault="00AA632A"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31</w:t>
      </w:r>
      <w:r w:rsidRPr="00844541">
        <w:rPr>
          <w:noProof/>
        </w:rPr>
        <w:fldChar w:fldCharType="end"/>
      </w:r>
      <w:r w:rsidR="005A0DB0" w:rsidRPr="00844541">
        <w:rPr>
          <w:lang w:val="fr-FR"/>
        </w:rPr>
        <w:t>.  </w:t>
      </w:r>
      <w:r w:rsidR="00544688" w:rsidRPr="00844541">
        <w:rPr>
          <w:lang w:val="fr-FR"/>
        </w:rPr>
        <w:t xml:space="preserve">Elle jugea </w:t>
      </w:r>
      <w:r w:rsidR="00B33CDB" w:rsidRPr="00844541">
        <w:rPr>
          <w:lang w:val="fr-FR"/>
        </w:rPr>
        <w:t>ensuite</w:t>
      </w:r>
      <w:r w:rsidR="00AF5D2A" w:rsidRPr="00844541">
        <w:rPr>
          <w:lang w:val="fr-FR"/>
        </w:rPr>
        <w:t xml:space="preserve"> </w:t>
      </w:r>
      <w:r w:rsidR="00544688" w:rsidRPr="00844541">
        <w:rPr>
          <w:lang w:val="fr-FR"/>
        </w:rPr>
        <w:t>que le tribunal départemental avait procédé à la comparaison des titres de propriété sans tenir compte de la volonté de la majorité des détenteurs actuels de l</w:t>
      </w:r>
      <w:r w:rsidR="00844541">
        <w:rPr>
          <w:lang w:val="fr-FR"/>
        </w:rPr>
        <w:t>’</w:t>
      </w:r>
      <w:r w:rsidR="00544688" w:rsidRPr="00844541">
        <w:rPr>
          <w:lang w:val="fr-FR"/>
        </w:rPr>
        <w:t xml:space="preserve">immeuble, critère </w:t>
      </w:r>
      <w:r w:rsidR="0008307A" w:rsidRPr="00844541">
        <w:rPr>
          <w:lang w:val="fr-FR"/>
        </w:rPr>
        <w:t xml:space="preserve">selon elle </w:t>
      </w:r>
      <w:r w:rsidR="00544688" w:rsidRPr="00844541">
        <w:rPr>
          <w:lang w:val="fr-FR"/>
        </w:rPr>
        <w:t>prévu par l</w:t>
      </w:r>
      <w:r w:rsidR="00844541">
        <w:rPr>
          <w:lang w:val="fr-FR"/>
        </w:rPr>
        <w:t>’</w:t>
      </w:r>
      <w:r w:rsidR="00544688" w:rsidRPr="00844541">
        <w:rPr>
          <w:lang w:val="fr-FR"/>
        </w:rPr>
        <w:t>article 3 § 1 du décret-loi n</w:t>
      </w:r>
      <w:r w:rsidR="00544688" w:rsidRPr="00844541">
        <w:rPr>
          <w:vertAlign w:val="superscript"/>
          <w:lang w:val="fr-FR"/>
        </w:rPr>
        <w:t>o</w:t>
      </w:r>
      <w:r w:rsidR="00544688" w:rsidRPr="00844541">
        <w:rPr>
          <w:lang w:val="fr-FR"/>
        </w:rPr>
        <w:t xml:space="preserve"> 126/1990. </w:t>
      </w:r>
      <w:r w:rsidR="0008307A" w:rsidRPr="00844541">
        <w:rPr>
          <w:lang w:val="fr-FR"/>
        </w:rPr>
        <w:t>Elle indiqua que, d</w:t>
      </w:r>
      <w:r w:rsidR="00544688" w:rsidRPr="00844541">
        <w:rPr>
          <w:lang w:val="fr-FR"/>
        </w:rPr>
        <w:t xml:space="preserve">ans la mesure où les orthodoxes étaient plus nombreux que </w:t>
      </w:r>
      <w:r w:rsidR="004F45EB" w:rsidRPr="00844541">
        <w:rPr>
          <w:lang w:val="fr-FR"/>
        </w:rPr>
        <w:t>les</w:t>
      </w:r>
      <w:r w:rsidR="00544688" w:rsidRPr="00844541">
        <w:rPr>
          <w:lang w:val="fr-FR"/>
        </w:rPr>
        <w:t xml:space="preserve"> gréco-catholique</w:t>
      </w:r>
      <w:r w:rsidR="00F13E0A" w:rsidRPr="00844541">
        <w:rPr>
          <w:lang w:val="fr-FR"/>
        </w:rPr>
        <w:t>s</w:t>
      </w:r>
      <w:r w:rsidR="00B33CDB" w:rsidRPr="00844541">
        <w:rPr>
          <w:lang w:val="fr-FR"/>
        </w:rPr>
        <w:t xml:space="preserve"> </w:t>
      </w:r>
      <w:r w:rsidR="001842AB" w:rsidRPr="00844541">
        <w:rPr>
          <w:lang w:val="fr-FR"/>
        </w:rPr>
        <w:t xml:space="preserve">à Lupeni </w:t>
      </w:r>
      <w:r w:rsidR="0008307A" w:rsidRPr="00844541">
        <w:rPr>
          <w:lang w:val="fr-FR"/>
        </w:rPr>
        <w:t>si l</w:t>
      </w:r>
      <w:r w:rsidR="00844541">
        <w:rPr>
          <w:lang w:val="fr-FR"/>
        </w:rPr>
        <w:t>’</w:t>
      </w:r>
      <w:r w:rsidR="0008307A" w:rsidRPr="00844541">
        <w:rPr>
          <w:lang w:val="fr-FR"/>
        </w:rPr>
        <w:t xml:space="preserve">on </w:t>
      </w:r>
      <w:r w:rsidR="00B33CDB" w:rsidRPr="00844541">
        <w:rPr>
          <w:lang w:val="fr-FR"/>
        </w:rPr>
        <w:t>compta</w:t>
      </w:r>
      <w:r w:rsidR="0008307A" w:rsidRPr="00844541">
        <w:rPr>
          <w:lang w:val="fr-FR"/>
        </w:rPr>
        <w:t>i</w:t>
      </w:r>
      <w:r w:rsidR="00B33CDB" w:rsidRPr="00844541">
        <w:rPr>
          <w:lang w:val="fr-FR"/>
        </w:rPr>
        <w:t xml:space="preserve">t également </w:t>
      </w:r>
      <w:r w:rsidR="0008307A" w:rsidRPr="00844541">
        <w:rPr>
          <w:lang w:val="fr-FR"/>
        </w:rPr>
        <w:t xml:space="preserve">les convertis </w:t>
      </w:r>
      <w:r w:rsidR="00B33CDB" w:rsidRPr="00844541">
        <w:rPr>
          <w:lang w:val="fr-FR"/>
        </w:rPr>
        <w:t>qui ne voulaient plus revenir au culte gréco-catholique</w:t>
      </w:r>
      <w:r w:rsidR="00544688" w:rsidRPr="00844541">
        <w:rPr>
          <w:lang w:val="fr-FR"/>
        </w:rPr>
        <w:t xml:space="preserve">, </w:t>
      </w:r>
      <w:r w:rsidR="0008307A" w:rsidRPr="00844541">
        <w:rPr>
          <w:lang w:val="fr-FR"/>
        </w:rPr>
        <w:t>il fallait trancher l</w:t>
      </w:r>
      <w:r w:rsidR="00844541">
        <w:rPr>
          <w:lang w:val="fr-FR"/>
        </w:rPr>
        <w:t>’</w:t>
      </w:r>
      <w:r w:rsidR="0008307A" w:rsidRPr="00844541">
        <w:rPr>
          <w:lang w:val="fr-FR"/>
        </w:rPr>
        <w:t xml:space="preserve">action en tenant compte de </w:t>
      </w:r>
      <w:r w:rsidR="00544688" w:rsidRPr="00844541">
        <w:rPr>
          <w:lang w:val="fr-FR"/>
        </w:rPr>
        <w:t>leur refus.</w:t>
      </w:r>
      <w:r w:rsidR="00B33CDB" w:rsidRPr="00844541">
        <w:rPr>
          <w:lang w:val="fr-FR"/>
        </w:rPr>
        <w:t xml:space="preserve"> </w:t>
      </w:r>
      <w:r w:rsidR="0008307A" w:rsidRPr="00844541">
        <w:rPr>
          <w:lang w:val="fr-FR"/>
        </w:rPr>
        <w:t>Elle estima</w:t>
      </w:r>
      <w:r w:rsidR="00B33CDB" w:rsidRPr="00844541">
        <w:rPr>
          <w:lang w:val="fr-FR"/>
        </w:rPr>
        <w:t xml:space="preserve"> que</w:t>
      </w:r>
      <w:r w:rsidR="0008307A" w:rsidRPr="00844541">
        <w:rPr>
          <w:lang w:val="fr-FR"/>
        </w:rPr>
        <w:t>,</w:t>
      </w:r>
      <w:r w:rsidR="00B33CDB" w:rsidRPr="00844541">
        <w:rPr>
          <w:lang w:val="fr-FR"/>
        </w:rPr>
        <w:t xml:space="preserve"> « </w:t>
      </w:r>
      <w:r w:rsidR="001842AB" w:rsidRPr="00844541">
        <w:rPr>
          <w:lang w:val="fr-FR"/>
        </w:rPr>
        <w:t>si l</w:t>
      </w:r>
      <w:r w:rsidR="00844541">
        <w:rPr>
          <w:lang w:val="fr-FR"/>
        </w:rPr>
        <w:t>’</w:t>
      </w:r>
      <w:r w:rsidR="001842AB" w:rsidRPr="00844541">
        <w:rPr>
          <w:lang w:val="fr-FR"/>
        </w:rPr>
        <w:t>on considérait l</w:t>
      </w:r>
      <w:r w:rsidR="00B33CDB" w:rsidRPr="00844541">
        <w:rPr>
          <w:lang w:val="fr-FR"/>
        </w:rPr>
        <w:t xml:space="preserve">es réalités sociales et historiques, ignorer la volonté des </w:t>
      </w:r>
      <w:r w:rsidR="003B5C3D" w:rsidRPr="00844541">
        <w:rPr>
          <w:lang w:val="fr-FR"/>
        </w:rPr>
        <w:t xml:space="preserve">fidèles </w:t>
      </w:r>
      <w:r w:rsidR="00B33CDB" w:rsidRPr="00844541">
        <w:rPr>
          <w:lang w:val="fr-FR"/>
        </w:rPr>
        <w:t xml:space="preserve">et </w:t>
      </w:r>
      <w:r w:rsidR="001842AB" w:rsidRPr="00844541">
        <w:rPr>
          <w:lang w:val="fr-FR"/>
        </w:rPr>
        <w:t>la proportion des</w:t>
      </w:r>
      <w:r w:rsidR="00B33CDB" w:rsidRPr="00844541">
        <w:rPr>
          <w:lang w:val="fr-FR"/>
        </w:rPr>
        <w:t xml:space="preserve"> </w:t>
      </w:r>
      <w:r w:rsidR="0008307A" w:rsidRPr="00844541">
        <w:rPr>
          <w:lang w:val="fr-FR"/>
        </w:rPr>
        <w:t xml:space="preserve">fidèles </w:t>
      </w:r>
      <w:r w:rsidR="00B33CDB" w:rsidRPr="00844541">
        <w:rPr>
          <w:lang w:val="fr-FR"/>
        </w:rPr>
        <w:t>orthodoxes</w:t>
      </w:r>
      <w:r w:rsidR="0008307A" w:rsidRPr="00844541">
        <w:rPr>
          <w:lang w:val="fr-FR"/>
        </w:rPr>
        <w:t>,</w:t>
      </w:r>
      <w:r w:rsidR="00B33CDB" w:rsidRPr="00844541">
        <w:rPr>
          <w:lang w:val="fr-FR"/>
        </w:rPr>
        <w:t xml:space="preserve"> majoritaires</w:t>
      </w:r>
      <w:r w:rsidR="0008307A" w:rsidRPr="00844541">
        <w:rPr>
          <w:lang w:val="fr-FR"/>
        </w:rPr>
        <w:t>,</w:t>
      </w:r>
      <w:r w:rsidR="00B33CDB" w:rsidRPr="00844541">
        <w:rPr>
          <w:lang w:val="fr-FR"/>
        </w:rPr>
        <w:t xml:space="preserve"> </w:t>
      </w:r>
      <w:r w:rsidR="001842AB" w:rsidRPr="00844541">
        <w:rPr>
          <w:lang w:val="fr-FR"/>
        </w:rPr>
        <w:t>par rapport aux</w:t>
      </w:r>
      <w:r w:rsidR="0008307A" w:rsidRPr="00844541">
        <w:rPr>
          <w:lang w:val="fr-FR"/>
        </w:rPr>
        <w:t xml:space="preserve"> fidèles </w:t>
      </w:r>
      <w:r w:rsidR="00B33CDB" w:rsidRPr="00844541">
        <w:rPr>
          <w:lang w:val="fr-FR"/>
        </w:rPr>
        <w:t xml:space="preserve">gréco-catholiques, </w:t>
      </w:r>
      <w:r w:rsidR="0008307A" w:rsidRPr="00844541">
        <w:rPr>
          <w:lang w:val="fr-FR"/>
        </w:rPr>
        <w:t>d</w:t>
      </w:r>
      <w:r w:rsidR="00844541">
        <w:rPr>
          <w:lang w:val="fr-FR"/>
        </w:rPr>
        <w:t>’</w:t>
      </w:r>
      <w:r w:rsidR="005A3309" w:rsidRPr="00844541">
        <w:rPr>
          <w:lang w:val="fr-FR"/>
        </w:rPr>
        <w:t>un poids moins signifi</w:t>
      </w:r>
      <w:r w:rsidR="004F45EB" w:rsidRPr="00844541">
        <w:rPr>
          <w:lang w:val="fr-FR"/>
        </w:rPr>
        <w:t>catif</w:t>
      </w:r>
      <w:r w:rsidR="00B33CDB" w:rsidRPr="00844541">
        <w:rPr>
          <w:lang w:val="fr-FR"/>
        </w:rPr>
        <w:t>, porterait atteint</w:t>
      </w:r>
      <w:r w:rsidR="005F2802" w:rsidRPr="00844541">
        <w:rPr>
          <w:lang w:val="fr-FR"/>
        </w:rPr>
        <w:t>e</w:t>
      </w:r>
      <w:r w:rsidR="00B33CDB" w:rsidRPr="00844541">
        <w:rPr>
          <w:lang w:val="fr-FR"/>
        </w:rPr>
        <w:t xml:space="preserve"> à la stabilité et à la sécurité des rapports juridiques ».</w:t>
      </w:r>
    </w:p>
    <w:p w:rsidR="00B33CDB" w:rsidRPr="00844541" w:rsidRDefault="00AA632A"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32</w:t>
      </w:r>
      <w:r w:rsidRPr="00844541">
        <w:rPr>
          <w:noProof/>
        </w:rPr>
        <w:fldChar w:fldCharType="end"/>
      </w:r>
      <w:r w:rsidR="005A0DB0" w:rsidRPr="00844541">
        <w:rPr>
          <w:lang w:val="fr-FR"/>
        </w:rPr>
        <w:t>.  </w:t>
      </w:r>
      <w:r w:rsidR="00B33CDB" w:rsidRPr="00844541">
        <w:rPr>
          <w:lang w:val="fr-FR"/>
        </w:rPr>
        <w:t>La cour d</w:t>
      </w:r>
      <w:r w:rsidR="00844541">
        <w:rPr>
          <w:lang w:val="fr-FR"/>
        </w:rPr>
        <w:t>’</w:t>
      </w:r>
      <w:r w:rsidR="00B33CDB" w:rsidRPr="00844541">
        <w:rPr>
          <w:lang w:val="fr-FR"/>
        </w:rPr>
        <w:t>appel nota enfin que l</w:t>
      </w:r>
      <w:r w:rsidR="00844541">
        <w:rPr>
          <w:lang w:val="fr-FR"/>
        </w:rPr>
        <w:t>’</w:t>
      </w:r>
      <w:r w:rsidR="00B33CDB" w:rsidRPr="00844541">
        <w:rPr>
          <w:lang w:val="fr-FR"/>
        </w:rPr>
        <w:t>abrogation du décret n</w:t>
      </w:r>
      <w:r w:rsidR="00B33CDB" w:rsidRPr="00844541">
        <w:rPr>
          <w:vertAlign w:val="superscript"/>
          <w:lang w:val="fr-FR"/>
        </w:rPr>
        <w:t>o</w:t>
      </w:r>
      <w:r w:rsidR="00B33CDB" w:rsidRPr="00844541">
        <w:rPr>
          <w:lang w:val="fr-FR"/>
        </w:rPr>
        <w:t xml:space="preserve"> 358/1948 ne signifiait pas automatiquement l</w:t>
      </w:r>
      <w:r w:rsidR="00844541">
        <w:rPr>
          <w:lang w:val="fr-FR"/>
        </w:rPr>
        <w:t>’</w:t>
      </w:r>
      <w:r w:rsidR="00B33CDB" w:rsidRPr="00844541">
        <w:rPr>
          <w:lang w:val="fr-FR"/>
        </w:rPr>
        <w:t>annulation du titre de propriété de l</w:t>
      </w:r>
      <w:r w:rsidR="00844541">
        <w:rPr>
          <w:lang w:val="fr-FR"/>
        </w:rPr>
        <w:t>’</w:t>
      </w:r>
      <w:r w:rsidR="0008307A" w:rsidRPr="00844541">
        <w:rPr>
          <w:rFonts w:cstheme="minorHAnsi"/>
          <w:lang w:val="fr-FR"/>
        </w:rPr>
        <w:t>É</w:t>
      </w:r>
      <w:r w:rsidR="00B33CDB" w:rsidRPr="00844541">
        <w:rPr>
          <w:lang w:val="fr-FR"/>
        </w:rPr>
        <w:t>glise orthodoxe</w:t>
      </w:r>
      <w:r w:rsidR="0008307A" w:rsidRPr="00844541">
        <w:rPr>
          <w:lang w:val="fr-FR"/>
        </w:rPr>
        <w:t xml:space="preserve"> et que ce décret</w:t>
      </w:r>
      <w:r w:rsidR="00B33CDB" w:rsidRPr="00844541">
        <w:rPr>
          <w:lang w:val="fr-FR"/>
        </w:rPr>
        <w:t xml:space="preserve"> </w:t>
      </w:r>
      <w:r w:rsidR="00CE4E64" w:rsidRPr="00844541">
        <w:rPr>
          <w:lang w:val="fr-FR"/>
        </w:rPr>
        <w:t>constituait</w:t>
      </w:r>
      <w:r w:rsidR="00B33CDB" w:rsidRPr="00844541">
        <w:rPr>
          <w:lang w:val="fr-FR"/>
        </w:rPr>
        <w:t xml:space="preserve"> la loi en vigueur à l</w:t>
      </w:r>
      <w:r w:rsidR="00844541">
        <w:rPr>
          <w:lang w:val="fr-FR"/>
        </w:rPr>
        <w:t>’</w:t>
      </w:r>
      <w:r w:rsidR="00B33CDB" w:rsidRPr="00844541">
        <w:rPr>
          <w:lang w:val="fr-FR"/>
        </w:rPr>
        <w:t>époque du transfert du droit de propriété</w:t>
      </w:r>
      <w:r w:rsidR="001250BE" w:rsidRPr="00844541">
        <w:rPr>
          <w:lang w:val="fr-FR"/>
        </w:rPr>
        <w:t xml:space="preserve">. </w:t>
      </w:r>
      <w:r w:rsidR="0008307A" w:rsidRPr="00844541">
        <w:rPr>
          <w:lang w:val="fr-FR"/>
        </w:rPr>
        <w:t>Elle estima d</w:t>
      </w:r>
      <w:r w:rsidR="001250BE" w:rsidRPr="00844541">
        <w:rPr>
          <w:lang w:val="fr-FR"/>
        </w:rPr>
        <w:t>ès lors</w:t>
      </w:r>
      <w:r w:rsidR="0008307A" w:rsidRPr="00844541">
        <w:rPr>
          <w:lang w:val="fr-FR"/>
        </w:rPr>
        <w:t xml:space="preserve"> que</w:t>
      </w:r>
      <w:r w:rsidR="001250BE" w:rsidRPr="00844541">
        <w:rPr>
          <w:lang w:val="fr-FR"/>
        </w:rPr>
        <w:t>, même s</w:t>
      </w:r>
      <w:r w:rsidR="00844541">
        <w:rPr>
          <w:lang w:val="fr-FR"/>
        </w:rPr>
        <w:t>’</w:t>
      </w:r>
      <w:r w:rsidR="001250BE" w:rsidRPr="00844541">
        <w:rPr>
          <w:lang w:val="fr-FR"/>
        </w:rPr>
        <w:t>i</w:t>
      </w:r>
      <w:r w:rsidR="004F45EB" w:rsidRPr="00844541">
        <w:rPr>
          <w:lang w:val="fr-FR"/>
        </w:rPr>
        <w:t>l</w:t>
      </w:r>
      <w:r w:rsidR="001250BE" w:rsidRPr="00844541">
        <w:rPr>
          <w:lang w:val="fr-FR"/>
        </w:rPr>
        <w:t xml:space="preserve"> </w:t>
      </w:r>
      <w:r w:rsidR="004F45EB" w:rsidRPr="00844541">
        <w:rPr>
          <w:lang w:val="fr-FR"/>
        </w:rPr>
        <w:t xml:space="preserve">était </w:t>
      </w:r>
      <w:r w:rsidR="001250BE" w:rsidRPr="00844541">
        <w:rPr>
          <w:lang w:val="fr-FR"/>
        </w:rPr>
        <w:t>abusif, le titre de l</w:t>
      </w:r>
      <w:r w:rsidR="00844541">
        <w:rPr>
          <w:lang w:val="fr-FR"/>
        </w:rPr>
        <w:t>’</w:t>
      </w:r>
      <w:r w:rsidR="00B12027" w:rsidRPr="00844541">
        <w:rPr>
          <w:rFonts w:cstheme="minorHAnsi"/>
          <w:lang w:val="fr-FR"/>
        </w:rPr>
        <w:t>É</w:t>
      </w:r>
      <w:r w:rsidR="001250BE" w:rsidRPr="00844541">
        <w:rPr>
          <w:lang w:val="fr-FR"/>
        </w:rPr>
        <w:t xml:space="preserve">glise orthodoxe était valable </w:t>
      </w:r>
      <w:r w:rsidR="001842AB" w:rsidRPr="00844541">
        <w:rPr>
          <w:lang w:val="fr-FR"/>
        </w:rPr>
        <w:t xml:space="preserve">à partir de </w:t>
      </w:r>
      <w:r w:rsidR="001250BE" w:rsidRPr="00844541">
        <w:rPr>
          <w:lang w:val="fr-FR"/>
        </w:rPr>
        <w:t xml:space="preserve">la date </w:t>
      </w:r>
      <w:r w:rsidR="00B12027" w:rsidRPr="00844541">
        <w:rPr>
          <w:lang w:val="fr-FR"/>
        </w:rPr>
        <w:t>à laquelle le transfert avait été opéré,</w:t>
      </w:r>
      <w:r w:rsidR="001250BE" w:rsidRPr="00844541">
        <w:rPr>
          <w:lang w:val="fr-FR"/>
        </w:rPr>
        <w:t xml:space="preserve"> de sorte que l</w:t>
      </w:r>
      <w:r w:rsidR="00844541">
        <w:rPr>
          <w:lang w:val="fr-FR"/>
        </w:rPr>
        <w:t>’</w:t>
      </w:r>
      <w:r w:rsidR="001250BE" w:rsidRPr="00844541">
        <w:rPr>
          <w:lang w:val="fr-FR"/>
        </w:rPr>
        <w:t>action en revendication était mal fondée.</w:t>
      </w:r>
    </w:p>
    <w:p w:rsidR="00B43D08"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33</w:t>
      </w:r>
      <w:r w:rsidRPr="00844541">
        <w:rPr>
          <w:noProof/>
        </w:rPr>
        <w:fldChar w:fldCharType="end"/>
      </w:r>
      <w:r w:rsidR="00544688" w:rsidRPr="00844541">
        <w:rPr>
          <w:lang w:val="fr-FR"/>
        </w:rPr>
        <w:t xml:space="preserve">.  Les requérants formèrent un recours devant la Haute Cour, </w:t>
      </w:r>
      <w:r w:rsidR="00B12027" w:rsidRPr="00844541">
        <w:rPr>
          <w:lang w:val="fr-FR"/>
        </w:rPr>
        <w:t xml:space="preserve">alléguant </w:t>
      </w:r>
      <w:r w:rsidR="00544688" w:rsidRPr="00844541">
        <w:rPr>
          <w:lang w:val="fr-FR"/>
        </w:rPr>
        <w:t>que la cour d</w:t>
      </w:r>
      <w:r w:rsidR="00844541">
        <w:rPr>
          <w:lang w:val="fr-FR"/>
        </w:rPr>
        <w:t>’</w:t>
      </w:r>
      <w:r w:rsidR="00544688" w:rsidRPr="00844541">
        <w:rPr>
          <w:lang w:val="fr-FR"/>
        </w:rPr>
        <w:t>appel avait appli</w:t>
      </w:r>
      <w:r w:rsidR="000C234B" w:rsidRPr="00844541">
        <w:rPr>
          <w:lang w:val="fr-FR"/>
        </w:rPr>
        <w:t>qué de manière</w:t>
      </w:r>
      <w:r w:rsidR="00544688" w:rsidRPr="00844541">
        <w:rPr>
          <w:lang w:val="fr-FR"/>
        </w:rPr>
        <w:t xml:space="preserve"> erronée </w:t>
      </w:r>
      <w:r w:rsidR="000C234B" w:rsidRPr="00844541">
        <w:rPr>
          <w:lang w:val="fr-FR"/>
        </w:rPr>
        <w:t>l</w:t>
      </w:r>
      <w:r w:rsidR="00544688" w:rsidRPr="00844541">
        <w:rPr>
          <w:lang w:val="fr-FR"/>
        </w:rPr>
        <w:t xml:space="preserve">es dispositions légales </w:t>
      </w:r>
      <w:r w:rsidR="000C234B" w:rsidRPr="00844541">
        <w:rPr>
          <w:lang w:val="fr-FR"/>
        </w:rPr>
        <w:t>régissant l</w:t>
      </w:r>
      <w:r w:rsidR="00844541">
        <w:rPr>
          <w:lang w:val="fr-FR"/>
        </w:rPr>
        <w:t>’</w:t>
      </w:r>
      <w:r w:rsidR="00544688" w:rsidRPr="00844541">
        <w:rPr>
          <w:lang w:val="fr-FR"/>
        </w:rPr>
        <w:t xml:space="preserve">action en revendication. </w:t>
      </w:r>
      <w:r w:rsidR="00612173" w:rsidRPr="00844541">
        <w:rPr>
          <w:lang w:val="fr-FR"/>
        </w:rPr>
        <w:t>Ils</w:t>
      </w:r>
      <w:r w:rsidR="00544688" w:rsidRPr="00844541">
        <w:rPr>
          <w:lang w:val="fr-FR"/>
        </w:rPr>
        <w:t xml:space="preserve"> </w:t>
      </w:r>
      <w:r w:rsidR="00612173" w:rsidRPr="00844541">
        <w:rPr>
          <w:lang w:val="fr-FR"/>
        </w:rPr>
        <w:t>soulignaient</w:t>
      </w:r>
      <w:r w:rsidR="00544688" w:rsidRPr="00844541">
        <w:rPr>
          <w:lang w:val="fr-FR"/>
        </w:rPr>
        <w:t xml:space="preserve"> que le droit de propriété ne </w:t>
      </w:r>
      <w:r w:rsidR="00B12027" w:rsidRPr="00844541">
        <w:rPr>
          <w:lang w:val="fr-FR"/>
        </w:rPr>
        <w:t>pouvait être lié au caractère</w:t>
      </w:r>
      <w:r w:rsidR="00544688" w:rsidRPr="00844541">
        <w:rPr>
          <w:lang w:val="fr-FR"/>
        </w:rPr>
        <w:t xml:space="preserve"> </w:t>
      </w:r>
      <w:r w:rsidR="00B12027" w:rsidRPr="00844541">
        <w:rPr>
          <w:lang w:val="fr-FR"/>
        </w:rPr>
        <w:t>majoritaire d</w:t>
      </w:r>
      <w:r w:rsidR="00844541">
        <w:rPr>
          <w:lang w:val="fr-FR"/>
        </w:rPr>
        <w:t>’</w:t>
      </w:r>
      <w:r w:rsidR="00B12027" w:rsidRPr="00844541">
        <w:rPr>
          <w:lang w:val="fr-FR"/>
        </w:rPr>
        <w:t xml:space="preserve">une religion, </w:t>
      </w:r>
      <w:r w:rsidR="00544688" w:rsidRPr="00844541">
        <w:rPr>
          <w:lang w:val="fr-FR"/>
        </w:rPr>
        <w:t>car la propriété</w:t>
      </w:r>
      <w:r w:rsidR="00B12027" w:rsidRPr="00844541">
        <w:rPr>
          <w:lang w:val="fr-FR"/>
        </w:rPr>
        <w:t xml:space="preserve"> était, à leurs dires,</w:t>
      </w:r>
      <w:r w:rsidR="00544688" w:rsidRPr="00844541">
        <w:rPr>
          <w:lang w:val="fr-FR"/>
        </w:rPr>
        <w:t xml:space="preserve"> une notion juridique</w:t>
      </w:r>
      <w:r w:rsidR="00D64E18" w:rsidRPr="00844541">
        <w:rPr>
          <w:lang w:val="fr-FR"/>
        </w:rPr>
        <w:t xml:space="preserve"> indépendante d</w:t>
      </w:r>
      <w:r w:rsidR="00C747C6" w:rsidRPr="00844541">
        <w:rPr>
          <w:lang w:val="fr-FR"/>
        </w:rPr>
        <w:t>e l</w:t>
      </w:r>
      <w:r w:rsidR="00844541">
        <w:rPr>
          <w:lang w:val="fr-FR"/>
        </w:rPr>
        <w:t>’</w:t>
      </w:r>
      <w:r w:rsidR="00C747C6" w:rsidRPr="00844541">
        <w:rPr>
          <w:lang w:val="fr-FR"/>
        </w:rPr>
        <w:t xml:space="preserve">importance numérique </w:t>
      </w:r>
      <w:r w:rsidR="00544688" w:rsidRPr="00844541">
        <w:rPr>
          <w:lang w:val="fr-FR"/>
        </w:rPr>
        <w:t>et de la volonté des parties.</w:t>
      </w:r>
    </w:p>
    <w:p w:rsidR="00544688" w:rsidRPr="00844541" w:rsidRDefault="00AA632A"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34</w:t>
      </w:r>
      <w:r w:rsidRPr="00844541">
        <w:rPr>
          <w:noProof/>
        </w:rPr>
        <w:fldChar w:fldCharType="end"/>
      </w:r>
      <w:r w:rsidR="00544688" w:rsidRPr="00844541">
        <w:rPr>
          <w:lang w:val="fr-FR"/>
        </w:rPr>
        <w:t>.  Par un arrêt définitif du 15 juin 2011, rendu à la majorité, la Haute Cour rejeta le recours des requérants et confirma l</w:t>
      </w:r>
      <w:r w:rsidR="00844541">
        <w:rPr>
          <w:lang w:val="fr-FR"/>
        </w:rPr>
        <w:t>’</w:t>
      </w:r>
      <w:r w:rsidR="00544688" w:rsidRPr="00844541">
        <w:rPr>
          <w:lang w:val="fr-FR"/>
        </w:rPr>
        <w:t xml:space="preserve">arrêt rendu en appel. Elle </w:t>
      </w:r>
      <w:r w:rsidR="00612173" w:rsidRPr="00844541">
        <w:rPr>
          <w:lang w:val="fr-FR"/>
        </w:rPr>
        <w:t>statua</w:t>
      </w:r>
      <w:r w:rsidR="00544688" w:rsidRPr="00844541">
        <w:rPr>
          <w:lang w:val="fr-FR"/>
        </w:rPr>
        <w:t xml:space="preserve"> ainsi :</w:t>
      </w:r>
    </w:p>
    <w:p w:rsidR="00014ADC" w:rsidRPr="00844541" w:rsidRDefault="00544688" w:rsidP="00844541">
      <w:pPr>
        <w:pStyle w:val="ECHRParaQuote"/>
      </w:pPr>
      <w:r w:rsidRPr="00844541">
        <w:t>« S</w:t>
      </w:r>
      <w:r w:rsidR="00844541">
        <w:t>’</w:t>
      </w:r>
      <w:r w:rsidRPr="00844541">
        <w:t>agissant d</w:t>
      </w:r>
      <w:r w:rsidR="00844541">
        <w:t>’</w:t>
      </w:r>
      <w:r w:rsidRPr="00844541">
        <w:t>une demande de restitution d</w:t>
      </w:r>
      <w:r w:rsidR="00844541">
        <w:t>’</w:t>
      </w:r>
      <w:r w:rsidRPr="00844541">
        <w:t>un lieu de culte qui a appartenu à l</w:t>
      </w:r>
      <w:r w:rsidR="00844541">
        <w:t>’</w:t>
      </w:r>
      <w:r w:rsidRPr="00844541">
        <w:t>église roumaine unie à Rome (gréco</w:t>
      </w:r>
      <w:r w:rsidR="00AE17FD" w:rsidRPr="00844541">
        <w:t>-</w:t>
      </w:r>
      <w:r w:rsidRPr="00844541">
        <w:t>catholique), l</w:t>
      </w:r>
      <w:r w:rsidR="00612173" w:rsidRPr="00844541">
        <w:t xml:space="preserve">a juridiction </w:t>
      </w:r>
      <w:r w:rsidRPr="00844541">
        <w:t>d</w:t>
      </w:r>
      <w:r w:rsidR="00844541">
        <w:t>’</w:t>
      </w:r>
      <w:r w:rsidRPr="00844541">
        <w:t>appel a correctement établi le cadre juridique spécial pour trancher lesdites prétentions</w:t>
      </w:r>
      <w:r w:rsidR="00014ADC" w:rsidRPr="00844541">
        <w:t>.</w:t>
      </w:r>
    </w:p>
    <w:p w:rsidR="00B43D08" w:rsidRPr="00844541" w:rsidRDefault="00014ADC" w:rsidP="00844541">
      <w:pPr>
        <w:pStyle w:val="ECHRParaQuote"/>
      </w:pPr>
      <w:r w:rsidRPr="00844541">
        <w:t>Conformément au décret-loi n</w:t>
      </w:r>
      <w:r w:rsidRPr="00844541">
        <w:rPr>
          <w:vertAlign w:val="superscript"/>
        </w:rPr>
        <w:t>o</w:t>
      </w:r>
      <w:r w:rsidRPr="00844541">
        <w:t xml:space="preserve"> 126/1990</w:t>
      </w:r>
      <w:r w:rsidR="00C2622B" w:rsidRPr="00844541">
        <w:t xml:space="preserve"> </w:t>
      </w:r>
      <w:r w:rsidRPr="00844541">
        <w:t>(</w:t>
      </w:r>
      <w:r w:rsidR="00EE1080" w:rsidRPr="00844541">
        <w:t>...</w:t>
      </w:r>
      <w:r w:rsidRPr="00844541">
        <w:t>) une distinction est faite entre deux situations : a)</w:t>
      </w:r>
      <w:r w:rsidR="000A305F" w:rsidRPr="00844541">
        <w:t>  </w:t>
      </w:r>
      <w:r w:rsidRPr="00844541">
        <w:t xml:space="preserve">celle </w:t>
      </w:r>
      <w:r w:rsidR="007424C6" w:rsidRPr="00844541">
        <w:t>où</w:t>
      </w:r>
      <w:r w:rsidRPr="00844541">
        <w:t xml:space="preserve"> les biens se trouvent dans le patrimoine de l</w:t>
      </w:r>
      <w:r w:rsidR="00844541">
        <w:t>’</w:t>
      </w:r>
      <w:r w:rsidRPr="00844541">
        <w:t>État (</w:t>
      </w:r>
      <w:r w:rsidR="00EE1080" w:rsidRPr="00844541">
        <w:t>...</w:t>
      </w:r>
      <w:r w:rsidRPr="00844541">
        <w:t>) b)</w:t>
      </w:r>
      <w:r w:rsidR="000A305F" w:rsidRPr="00844541">
        <w:t>  </w:t>
      </w:r>
      <w:r w:rsidRPr="00844541">
        <w:t>celle où les lieux de culte et les paroisses ont été repris par l</w:t>
      </w:r>
      <w:r w:rsidR="00844541">
        <w:t>’</w:t>
      </w:r>
      <w:r w:rsidR="007424C6" w:rsidRPr="00844541">
        <w:t>É</w:t>
      </w:r>
      <w:r w:rsidRPr="00844541">
        <w:t xml:space="preserve">glise orthodoxe roumaine </w:t>
      </w:r>
      <w:r w:rsidR="007424C6" w:rsidRPr="00844541">
        <w:t xml:space="preserve">et </w:t>
      </w:r>
      <w:r w:rsidRPr="00844541">
        <w:t>pour lesquelles la restitution sera décidé</w:t>
      </w:r>
      <w:r w:rsidR="00612173" w:rsidRPr="00844541">
        <w:t>e</w:t>
      </w:r>
      <w:r w:rsidRPr="00844541">
        <w:t xml:space="preserve"> par une commission mixte formée par des </w:t>
      </w:r>
      <w:r w:rsidRPr="00844541">
        <w:lastRenderedPageBreak/>
        <w:t>représentants cléricaux des deux cultes</w:t>
      </w:r>
      <w:r w:rsidR="007424C6" w:rsidRPr="00844541">
        <w:t>, commission qui</w:t>
      </w:r>
      <w:r w:rsidR="007424C6" w:rsidRPr="00844541">
        <w:rPr>
          <w:i/>
        </w:rPr>
        <w:t xml:space="preserve"> tiendra</w:t>
      </w:r>
      <w:r w:rsidRPr="00844541">
        <w:rPr>
          <w:i/>
        </w:rPr>
        <w:t xml:space="preserve"> compte de la volonté des </w:t>
      </w:r>
      <w:r w:rsidR="007424C6" w:rsidRPr="00844541">
        <w:rPr>
          <w:i/>
        </w:rPr>
        <w:t>fidèles</w:t>
      </w:r>
      <w:r w:rsidR="00075518" w:rsidRPr="00844541">
        <w:rPr>
          <w:i/>
        </w:rPr>
        <w:t xml:space="preserve"> </w:t>
      </w:r>
      <w:r w:rsidRPr="00844541">
        <w:t>de la communauté détentrice des biens.</w:t>
      </w:r>
    </w:p>
    <w:p w:rsidR="00544688" w:rsidRPr="00844541" w:rsidRDefault="00014ADC" w:rsidP="00844541">
      <w:pPr>
        <w:pStyle w:val="ECHRParaQuote"/>
      </w:pPr>
      <w:r w:rsidRPr="00844541">
        <w:t>Compte tenu de ces dispositions, la juridiction d</w:t>
      </w:r>
      <w:r w:rsidR="00844541">
        <w:t>’</w:t>
      </w:r>
      <w:r w:rsidRPr="00844541">
        <w:t>appel</w:t>
      </w:r>
      <w:r w:rsidR="007F6625" w:rsidRPr="00844541">
        <w:t>, saisie d</w:t>
      </w:r>
      <w:r w:rsidR="00844541">
        <w:t>’</w:t>
      </w:r>
      <w:r w:rsidR="007F6625" w:rsidRPr="00844541">
        <w:t>une action en restitution d</w:t>
      </w:r>
      <w:r w:rsidR="00844541">
        <w:t>’</w:t>
      </w:r>
      <w:r w:rsidR="007F6625" w:rsidRPr="00844541">
        <w:t>un lieu de culte,</w:t>
      </w:r>
      <w:r w:rsidRPr="00844541">
        <w:t xml:space="preserve"> a, à bon droit, appliqué le critère concernant la volonté des </w:t>
      </w:r>
      <w:r w:rsidR="007424C6" w:rsidRPr="00844541">
        <w:t xml:space="preserve">fidèles </w:t>
      </w:r>
      <w:r w:rsidRPr="00844541">
        <w:t xml:space="preserve">(majoritaires orthodoxes) de la communauté détentrice du bien, en </w:t>
      </w:r>
      <w:r w:rsidR="006E2AAD" w:rsidRPr="00844541">
        <w:t xml:space="preserve">soulignant </w:t>
      </w:r>
      <w:r w:rsidRPr="00844541">
        <w:t xml:space="preserve">en même temps le caractère </w:t>
      </w:r>
      <w:r w:rsidR="0094586C" w:rsidRPr="00844541">
        <w:t>irrégulier</w:t>
      </w:r>
      <w:r w:rsidRPr="00844541">
        <w:t xml:space="preserve"> du raisonnement </w:t>
      </w:r>
      <w:r w:rsidR="00612173" w:rsidRPr="00844541">
        <w:t>de</w:t>
      </w:r>
      <w:r w:rsidRPr="00844541">
        <w:t xml:space="preserve"> l</w:t>
      </w:r>
      <w:r w:rsidR="00612173" w:rsidRPr="00844541">
        <w:t>a</w:t>
      </w:r>
      <w:r w:rsidRPr="00844541">
        <w:t xml:space="preserve"> juridiction </w:t>
      </w:r>
      <w:r w:rsidR="007424C6" w:rsidRPr="00844541">
        <w:t xml:space="preserve">ayant </w:t>
      </w:r>
      <w:r w:rsidRPr="00844541">
        <w:t>statu</w:t>
      </w:r>
      <w:r w:rsidR="007424C6" w:rsidRPr="00844541">
        <w:t>é</w:t>
      </w:r>
      <w:r w:rsidRPr="00844541">
        <w:t xml:space="preserve"> en première instance qui avait procédé à une simple comparaison des titres en ignorant la norme spéciale.</w:t>
      </w:r>
      <w:r w:rsidR="00544688" w:rsidRPr="00844541">
        <w:t xml:space="preserve"> (</w:t>
      </w:r>
      <w:r w:rsidR="00EE1080" w:rsidRPr="00844541">
        <w:t>...</w:t>
      </w:r>
      <w:r w:rsidR="00544688" w:rsidRPr="00844541">
        <w:t>)</w:t>
      </w:r>
    </w:p>
    <w:p w:rsidR="00544688" w:rsidRPr="00844541" w:rsidRDefault="00544688" w:rsidP="00844541">
      <w:pPr>
        <w:pStyle w:val="ECHRParaQuote"/>
      </w:pPr>
      <w:r w:rsidRPr="00844541">
        <w:t>Le fait de compléter l</w:t>
      </w:r>
      <w:r w:rsidR="00844541">
        <w:t>’</w:t>
      </w:r>
      <w:r w:rsidRPr="00844541">
        <w:t>article 3 [du décret-loi n</w:t>
      </w:r>
      <w:r w:rsidRPr="00844541">
        <w:rPr>
          <w:vertAlign w:val="superscript"/>
        </w:rPr>
        <w:t>o</w:t>
      </w:r>
      <w:r w:rsidRPr="00844541">
        <w:t xml:space="preserve"> 126/1990] avec un alinéa selon lequel « </w:t>
      </w:r>
      <w:r w:rsidRPr="00844541">
        <w:rPr>
          <w:i/>
        </w:rPr>
        <w:t>Si la commission ne se réunit pas au terme du délai établi pour sa convocation, ou si dans le cadre de la commission elle ne parvient pas à un résultat ou si la décision prise par la commission mécontente l</w:t>
      </w:r>
      <w:r w:rsidR="00844541">
        <w:rPr>
          <w:i/>
        </w:rPr>
        <w:t>’</w:t>
      </w:r>
      <w:r w:rsidRPr="00844541">
        <w:rPr>
          <w:i/>
        </w:rPr>
        <w:t xml:space="preserve">une des parties, la partie </w:t>
      </w:r>
      <w:r w:rsidR="00462EC0" w:rsidRPr="00844541">
        <w:rPr>
          <w:i/>
        </w:rPr>
        <w:t xml:space="preserve">ayant un intérêt à agir </w:t>
      </w:r>
      <w:r w:rsidRPr="00844541">
        <w:rPr>
          <w:i/>
        </w:rPr>
        <w:t xml:space="preserve">peut introduire une action en justice </w:t>
      </w:r>
      <w:r w:rsidR="00F446AC" w:rsidRPr="00844541">
        <w:rPr>
          <w:i/>
        </w:rPr>
        <w:t xml:space="preserve">fondée </w:t>
      </w:r>
      <w:r w:rsidRPr="00844541">
        <w:rPr>
          <w:i/>
        </w:rPr>
        <w:t>sur le droit commun </w:t>
      </w:r>
      <w:r w:rsidRPr="00844541">
        <w:t>» ne signifie pas que les requêtes en restitution rég</w:t>
      </w:r>
      <w:r w:rsidR="00C2622B" w:rsidRPr="00844541">
        <w:t>ies</w:t>
      </w:r>
      <w:r w:rsidRPr="00844541">
        <w:t xml:space="preserve"> par les normes spéciales sont transformées en demandes en revendication selon le droit commun.</w:t>
      </w:r>
    </w:p>
    <w:p w:rsidR="00544688" w:rsidRPr="00844541" w:rsidRDefault="00544688" w:rsidP="00844541">
      <w:pPr>
        <w:pStyle w:val="ECHRParaQuote"/>
      </w:pPr>
      <w:r w:rsidRPr="00844541">
        <w:t>Saisi d</w:t>
      </w:r>
      <w:r w:rsidR="00844541">
        <w:t>’</w:t>
      </w:r>
      <w:r w:rsidRPr="00844541">
        <w:t>une telle requête, le tribunal ne peut pas ignorer la r</w:t>
      </w:r>
      <w:r w:rsidR="00F446AC" w:rsidRPr="00844541">
        <w:t>é</w:t>
      </w:r>
      <w:r w:rsidRPr="00844541">
        <w:t xml:space="preserve">glementation spéciale en la matière qui </w:t>
      </w:r>
      <w:r w:rsidR="006E2AAD" w:rsidRPr="00844541">
        <w:t xml:space="preserve">indique </w:t>
      </w:r>
      <w:r w:rsidRPr="00844541">
        <w:t xml:space="preserve">le critère </w:t>
      </w:r>
      <w:r w:rsidR="006E2AAD" w:rsidRPr="00844541">
        <w:t>à prendre</w:t>
      </w:r>
      <w:r w:rsidRPr="00844541">
        <w:t xml:space="preserve"> en compte dans la résolution de telles prétentions, à savoir la volonté des </w:t>
      </w:r>
      <w:r w:rsidR="00157098" w:rsidRPr="00844541">
        <w:t>fidèles</w:t>
      </w:r>
      <w:r w:rsidRPr="00844541">
        <w:t xml:space="preserve"> de la communauté dét</w:t>
      </w:r>
      <w:r w:rsidR="00157098" w:rsidRPr="00844541">
        <w:t>entrice du</w:t>
      </w:r>
      <w:r w:rsidRPr="00844541">
        <w:t xml:space="preserve"> bien.</w:t>
      </w:r>
    </w:p>
    <w:p w:rsidR="00B43D08" w:rsidRPr="00844541" w:rsidRDefault="00544688" w:rsidP="00844541">
      <w:pPr>
        <w:pStyle w:val="ECHRParaQuote"/>
      </w:pPr>
      <w:r w:rsidRPr="00844541">
        <w:t xml:space="preserve">Autrement dit, en vertu de sa plénitude de juridiction, le tribunal </w:t>
      </w:r>
      <w:r w:rsidR="006E2AAD" w:rsidRPr="00844541">
        <w:t xml:space="preserve">peut être </w:t>
      </w:r>
      <w:r w:rsidRPr="00844541">
        <w:t xml:space="preserve">appelé à </w:t>
      </w:r>
      <w:r w:rsidR="006E2AAD" w:rsidRPr="00844541">
        <w:t xml:space="preserve">trancher </w:t>
      </w:r>
      <w:r w:rsidRPr="00844541">
        <w:t>une requête sur le fond alors que la procédure préalable n</w:t>
      </w:r>
      <w:r w:rsidR="00844541">
        <w:t>’</w:t>
      </w:r>
      <w:r w:rsidRPr="00844541">
        <w:t xml:space="preserve">a pas été achevée par une décision de la commission mixte cléricale, afin de ne pas </w:t>
      </w:r>
      <w:r w:rsidR="006E2AAD" w:rsidRPr="00844541">
        <w:t xml:space="preserve">compromettre </w:t>
      </w:r>
      <w:r w:rsidRPr="00844541">
        <w:t>l</w:t>
      </w:r>
      <w:r w:rsidR="00844541">
        <w:t>’</w:t>
      </w:r>
      <w:r w:rsidRPr="00844541">
        <w:t>accès à la justice, mais</w:t>
      </w:r>
      <w:r w:rsidR="00157098" w:rsidRPr="00844541">
        <w:t>,</w:t>
      </w:r>
      <w:r w:rsidRPr="00844541">
        <w:t xml:space="preserve"> en même temps, sans qu</w:t>
      </w:r>
      <w:r w:rsidR="00844541">
        <w:t>’</w:t>
      </w:r>
      <w:r w:rsidRPr="00844541">
        <w:t>il puisse sortir des limites imposées par le cadre normatif spécial.</w:t>
      </w:r>
    </w:p>
    <w:p w:rsidR="00544688" w:rsidRPr="00844541" w:rsidRDefault="00544688" w:rsidP="00844541">
      <w:pPr>
        <w:pStyle w:val="ECHRParaQuote"/>
      </w:pPr>
      <w:r w:rsidRPr="00844541">
        <w:t xml:space="preserve">La préférence </w:t>
      </w:r>
      <w:r w:rsidR="007D775B" w:rsidRPr="00844541">
        <w:t xml:space="preserve">pour le </w:t>
      </w:r>
      <w:r w:rsidRPr="00844541">
        <w:t xml:space="preserve">critère de la volonté des </w:t>
      </w:r>
      <w:r w:rsidR="00E570CD" w:rsidRPr="00844541">
        <w:t xml:space="preserve">fidèles </w:t>
      </w:r>
      <w:r w:rsidR="007D775B" w:rsidRPr="00844541">
        <w:t>relève</w:t>
      </w:r>
      <w:r w:rsidRPr="00844541">
        <w:t xml:space="preserve"> du choix du législateur</w:t>
      </w:r>
      <w:r w:rsidR="007D775B" w:rsidRPr="00844541">
        <w:t>,</w:t>
      </w:r>
      <w:r w:rsidRPr="00844541">
        <w:t xml:space="preserve"> qui a voulu ainsi r</w:t>
      </w:r>
      <w:r w:rsidR="00E570CD" w:rsidRPr="00844541">
        <w:t>é</w:t>
      </w:r>
      <w:r w:rsidRPr="00844541">
        <w:t xml:space="preserve">glementer une matière qui </w:t>
      </w:r>
      <w:r w:rsidR="007D775B" w:rsidRPr="00844541">
        <w:t xml:space="preserve">concerne </w:t>
      </w:r>
      <w:r w:rsidRPr="00844541">
        <w:t xml:space="preserve">les immeubles </w:t>
      </w:r>
      <w:r w:rsidR="00E570CD" w:rsidRPr="00844541">
        <w:t>dotés d</w:t>
      </w:r>
      <w:r w:rsidR="00844541">
        <w:t>’</w:t>
      </w:r>
      <w:r w:rsidRPr="00844541">
        <w:t>une certaine affectation (lieux de culte), le tribunal n</w:t>
      </w:r>
      <w:r w:rsidR="00844541">
        <w:t>’</w:t>
      </w:r>
      <w:r w:rsidRPr="00844541">
        <w:t>étant pas autorisé à censurer la loi.</w:t>
      </w:r>
    </w:p>
    <w:p w:rsidR="00544688" w:rsidRPr="00844541" w:rsidRDefault="00544688" w:rsidP="00844541">
      <w:pPr>
        <w:pStyle w:val="ECHRParaQuote"/>
      </w:pPr>
      <w:r w:rsidRPr="00844541">
        <w:t>Par ailleurs, se prononçant sur l</w:t>
      </w:r>
      <w:r w:rsidR="00844541">
        <w:t>’</w:t>
      </w:r>
      <w:r w:rsidRPr="00844541">
        <w:t xml:space="preserve">inconstitutionnalité </w:t>
      </w:r>
      <w:r w:rsidR="00E570CD" w:rsidRPr="00844541">
        <w:t xml:space="preserve">alléguée </w:t>
      </w:r>
      <w:r w:rsidRPr="00844541">
        <w:t>de l</w:t>
      </w:r>
      <w:r w:rsidR="00844541">
        <w:t>’</w:t>
      </w:r>
      <w:r w:rsidRPr="00844541">
        <w:t xml:space="preserve">article 3 du </w:t>
      </w:r>
      <w:r w:rsidR="00E570CD" w:rsidRPr="00844541">
        <w:t>d</w:t>
      </w:r>
      <w:r w:rsidRPr="00844541">
        <w:t>écret n</w:t>
      </w:r>
      <w:r w:rsidR="001E74E1" w:rsidRPr="00844541">
        <w:rPr>
          <w:vertAlign w:val="superscript"/>
        </w:rPr>
        <w:t>o</w:t>
      </w:r>
      <w:r w:rsidRPr="00844541">
        <w:t xml:space="preserve"> 126/1990 et du critère de la volonté des </w:t>
      </w:r>
      <w:r w:rsidR="00E570CD" w:rsidRPr="00844541">
        <w:t>fidèles</w:t>
      </w:r>
      <w:r w:rsidRPr="00844541">
        <w:t xml:space="preserve">, la Cour </w:t>
      </w:r>
      <w:r w:rsidR="00E570CD" w:rsidRPr="00844541">
        <w:t>c</w:t>
      </w:r>
      <w:r w:rsidRPr="00844541">
        <w:t xml:space="preserve">onstitutionnelle a </w:t>
      </w:r>
      <w:r w:rsidR="005C058E" w:rsidRPr="00844541">
        <w:t>affirmé</w:t>
      </w:r>
      <w:r w:rsidRPr="00844541">
        <w:t xml:space="preserve"> que le texte n</w:t>
      </w:r>
      <w:r w:rsidR="00844541">
        <w:t>’</w:t>
      </w:r>
      <w:r w:rsidRPr="00844541">
        <w:t>enfre</w:t>
      </w:r>
      <w:r w:rsidR="008264D9" w:rsidRPr="00844541">
        <w:t>ignait</w:t>
      </w:r>
      <w:r w:rsidRPr="00844541">
        <w:t xml:space="preserve"> pas le principe de démocratie de l</w:t>
      </w:r>
      <w:r w:rsidR="00844541">
        <w:t>’</w:t>
      </w:r>
      <w:r w:rsidRPr="00844541">
        <w:t>État roumain ni celui de la liberté des cultes religieux (décision C.C</w:t>
      </w:r>
      <w:r w:rsidR="008264D9" w:rsidRPr="00844541">
        <w:t>.</w:t>
      </w:r>
      <w:r w:rsidRPr="00844541">
        <w:t xml:space="preserve"> n</w:t>
      </w:r>
      <w:r w:rsidRPr="00844541">
        <w:rPr>
          <w:vertAlign w:val="superscript"/>
        </w:rPr>
        <w:t>o</w:t>
      </w:r>
      <w:r w:rsidRPr="00844541">
        <w:t xml:space="preserve"> 23/199</w:t>
      </w:r>
      <w:r w:rsidR="006F29F5" w:rsidRPr="00844541">
        <w:t>3, décision C.C</w:t>
      </w:r>
      <w:r w:rsidR="008264D9" w:rsidRPr="00844541">
        <w:t>.</w:t>
      </w:r>
      <w:r w:rsidR="006F29F5" w:rsidRPr="00844541">
        <w:t xml:space="preserve"> n</w:t>
      </w:r>
      <w:r w:rsidR="001E74E1" w:rsidRPr="00844541">
        <w:rPr>
          <w:vertAlign w:val="superscript"/>
        </w:rPr>
        <w:t>o</w:t>
      </w:r>
      <w:r w:rsidR="000A305F" w:rsidRPr="00844541">
        <w:t> </w:t>
      </w:r>
      <w:r w:rsidR="006F29F5" w:rsidRPr="00844541">
        <w:t>49/1995).</w:t>
      </w:r>
    </w:p>
    <w:p w:rsidR="006F29F5" w:rsidRPr="00844541" w:rsidRDefault="00AF68EF" w:rsidP="00844541">
      <w:pPr>
        <w:pStyle w:val="ECHRParaQuote"/>
      </w:pPr>
      <w:r w:rsidRPr="00844541">
        <w:t xml:space="preserve">En effet, </w:t>
      </w:r>
      <w:r w:rsidR="006F29F5" w:rsidRPr="00844541">
        <w:t>la démocratie « implique également l</w:t>
      </w:r>
      <w:r w:rsidR="00844541">
        <w:t>’</w:t>
      </w:r>
      <w:r w:rsidR="006F29F5" w:rsidRPr="00844541">
        <w:t xml:space="preserve">application du principe de la majorité, </w:t>
      </w:r>
      <w:r w:rsidR="007D775B" w:rsidRPr="00844541">
        <w:t>comme l</w:t>
      </w:r>
      <w:r w:rsidR="00844541">
        <w:t>’</w:t>
      </w:r>
      <w:r w:rsidR="007D775B" w:rsidRPr="00844541">
        <w:t>énonc</w:t>
      </w:r>
      <w:r w:rsidR="006F29F5" w:rsidRPr="00844541">
        <w:t>e la partie finale de l</w:t>
      </w:r>
      <w:r w:rsidR="00844541">
        <w:t>’</w:t>
      </w:r>
      <w:r w:rsidR="006F29F5" w:rsidRPr="00844541">
        <w:t>article 3 –</w:t>
      </w:r>
      <w:r w:rsidR="000A305F" w:rsidRPr="00844541">
        <w:t xml:space="preserve"> </w:t>
      </w:r>
      <w:r w:rsidR="006F29F5" w:rsidRPr="00844541">
        <w:rPr>
          <w:i/>
        </w:rPr>
        <w:t xml:space="preserve">la volonté des </w:t>
      </w:r>
      <w:r w:rsidR="008264D9" w:rsidRPr="00844541">
        <w:rPr>
          <w:i/>
        </w:rPr>
        <w:t xml:space="preserve">fidèles </w:t>
      </w:r>
      <w:r w:rsidR="006F29F5" w:rsidRPr="00844541">
        <w:rPr>
          <w:i/>
        </w:rPr>
        <w:t>de la communauté</w:t>
      </w:r>
      <w:r w:rsidR="006F29F5" w:rsidRPr="00844541">
        <w:t xml:space="preserve"> </w:t>
      </w:r>
      <w:r w:rsidR="008264D9" w:rsidRPr="00844541">
        <w:t>détentrice de</w:t>
      </w:r>
      <w:r w:rsidR="006F29F5" w:rsidRPr="00844541">
        <w:t xml:space="preserve"> ces biens</w:t>
      </w:r>
      <w:r w:rsidR="008264D9" w:rsidRPr="00844541">
        <w:t xml:space="preserve"> –</w:t>
      </w:r>
      <w:r w:rsidR="007D775B" w:rsidRPr="00844541">
        <w:t xml:space="preserve"> </w:t>
      </w:r>
      <w:r w:rsidR="00E20579" w:rsidRPr="00844541">
        <w:t>qui institue</w:t>
      </w:r>
      <w:r w:rsidR="006F29F5" w:rsidRPr="00844541">
        <w:t xml:space="preserve"> un critère social, celui </w:t>
      </w:r>
      <w:r w:rsidR="007D775B" w:rsidRPr="00844541">
        <w:t>du choix</w:t>
      </w:r>
      <w:r w:rsidR="006F29F5" w:rsidRPr="00844541">
        <w:t xml:space="preserve"> de la majorité des </w:t>
      </w:r>
      <w:r w:rsidR="008264D9" w:rsidRPr="00844541">
        <w:t>fidèles</w:t>
      </w:r>
      <w:r w:rsidR="006F29F5" w:rsidRPr="00844541">
        <w:t>. »</w:t>
      </w:r>
    </w:p>
    <w:p w:rsidR="00544688" w:rsidRPr="00844541" w:rsidRDefault="00544688" w:rsidP="00844541">
      <w:pPr>
        <w:pStyle w:val="ECHRParaQuote"/>
      </w:pPr>
      <w:r w:rsidRPr="00844541">
        <w:t>De même, il a été établi que « la liberté des cultes religieux implique non seulement leur autonomie à l</w:t>
      </w:r>
      <w:r w:rsidR="00844541">
        <w:t>’</w:t>
      </w:r>
      <w:r w:rsidRPr="00844541">
        <w:t>égard de l</w:t>
      </w:r>
      <w:r w:rsidR="00844541">
        <w:t>’</w:t>
      </w:r>
      <w:r w:rsidRPr="00844541">
        <w:t xml:space="preserve">État, mais également la liberté de croyance religieuse » ; lorsque « dans la même commune </w:t>
      </w:r>
      <w:r w:rsidR="007D775B" w:rsidRPr="00844541">
        <w:t>il y a</w:t>
      </w:r>
      <w:r w:rsidRPr="00844541">
        <w:t xml:space="preserve"> des </w:t>
      </w:r>
      <w:r w:rsidR="00880050" w:rsidRPr="00844541">
        <w:t>fidèles</w:t>
      </w:r>
      <w:r w:rsidRPr="00844541">
        <w:t xml:space="preserve"> orthodoxes et </w:t>
      </w:r>
      <w:r w:rsidR="00880050" w:rsidRPr="00844541">
        <w:t xml:space="preserve">des fidèles </w:t>
      </w:r>
      <w:r w:rsidRPr="00844541">
        <w:t>gréco</w:t>
      </w:r>
      <w:r w:rsidR="00075518" w:rsidRPr="00844541">
        <w:noBreakHyphen/>
      </w:r>
      <w:r w:rsidRPr="00844541">
        <w:t xml:space="preserve">catholiques, </w:t>
      </w:r>
      <w:r w:rsidR="007D775B" w:rsidRPr="00844541">
        <w:t>l</w:t>
      </w:r>
      <w:r w:rsidR="00844541">
        <w:t>’</w:t>
      </w:r>
      <w:r w:rsidR="007D775B" w:rsidRPr="00844541">
        <w:t xml:space="preserve">application du </w:t>
      </w:r>
      <w:r w:rsidRPr="00844541">
        <w:t xml:space="preserve">critère social de la majorité des paroissiens </w:t>
      </w:r>
      <w:r w:rsidR="007D775B" w:rsidRPr="00844541">
        <w:t>pour décider de l</w:t>
      </w:r>
      <w:r w:rsidR="00844541">
        <w:t>’</w:t>
      </w:r>
      <w:r w:rsidR="007D775B" w:rsidRPr="00844541">
        <w:t>attribution</w:t>
      </w:r>
      <w:r w:rsidRPr="00844541">
        <w:t xml:space="preserve"> des lieux de culte et des maisons paroissiales </w:t>
      </w:r>
      <w:r w:rsidR="00880050" w:rsidRPr="00844541">
        <w:t xml:space="preserve">est conforme </w:t>
      </w:r>
      <w:r w:rsidRPr="00844541">
        <w:t>au principe démocratique de détermination de l</w:t>
      </w:r>
      <w:r w:rsidR="00844541">
        <w:t>’</w:t>
      </w:r>
      <w:r w:rsidRPr="00844541">
        <w:t xml:space="preserve">usage religieux dudit bien, </w:t>
      </w:r>
      <w:r w:rsidR="007D775B" w:rsidRPr="00844541">
        <w:t>dès lors que c</w:t>
      </w:r>
      <w:r w:rsidR="00844541">
        <w:t>’</w:t>
      </w:r>
      <w:r w:rsidR="007D775B" w:rsidRPr="00844541">
        <w:t>est la volonté de la majorité</w:t>
      </w:r>
      <w:r w:rsidRPr="00844541">
        <w:t xml:space="preserve"> de ceux qui sont les bénéficiaires de ladite utilisation » parce que « autrement, cela signifierait que, de manière injustifiée</w:t>
      </w:r>
      <w:r w:rsidR="00880050" w:rsidRPr="00844541">
        <w:t>,</w:t>
      </w:r>
      <w:r w:rsidRPr="00844541">
        <w:t xml:space="preserve"> les </w:t>
      </w:r>
      <w:r w:rsidR="00880050" w:rsidRPr="00844541">
        <w:t xml:space="preserve">fidèles </w:t>
      </w:r>
      <w:r w:rsidRPr="00844541">
        <w:t>orthodoxes majoritaires</w:t>
      </w:r>
      <w:r w:rsidR="007D775B" w:rsidRPr="00844541">
        <w:t>, à moins passer au culte gréco-catholique,</w:t>
      </w:r>
      <w:r w:rsidRPr="00844541">
        <w:t xml:space="preserve"> </w:t>
      </w:r>
      <w:r w:rsidR="00880050" w:rsidRPr="00844541">
        <w:t xml:space="preserve">seraient </w:t>
      </w:r>
      <w:r w:rsidRPr="00844541">
        <w:t>empêchés de pratiquer leur religion ».</w:t>
      </w:r>
    </w:p>
    <w:p w:rsidR="00B43D08" w:rsidRPr="00844541" w:rsidRDefault="00544688" w:rsidP="00844541">
      <w:pPr>
        <w:pStyle w:val="ECHRParaQuote"/>
      </w:pPr>
      <w:r w:rsidRPr="00844541">
        <w:t>En outre, l</w:t>
      </w:r>
      <w:r w:rsidR="00880050" w:rsidRPr="00844541">
        <w:t>es</w:t>
      </w:r>
      <w:r w:rsidRPr="00844541">
        <w:t xml:space="preserve"> modalité</w:t>
      </w:r>
      <w:r w:rsidR="00880050" w:rsidRPr="00844541">
        <w:t>s</w:t>
      </w:r>
      <w:r w:rsidRPr="00844541">
        <w:t xml:space="preserve"> de r</w:t>
      </w:r>
      <w:r w:rsidR="00880050" w:rsidRPr="00844541">
        <w:t>é</w:t>
      </w:r>
      <w:r w:rsidRPr="00844541">
        <w:t>glementation des relations sociales</w:t>
      </w:r>
      <w:r w:rsidR="007D775B" w:rsidRPr="00844541">
        <w:t xml:space="preserve"> et</w:t>
      </w:r>
      <w:r w:rsidRPr="00844541">
        <w:t xml:space="preserve"> de reconstitution du patrimoine (</w:t>
      </w:r>
      <w:r w:rsidRPr="00844541">
        <w:rPr>
          <w:i/>
        </w:rPr>
        <w:t>averi</w:t>
      </w:r>
      <w:r w:rsidRPr="00844541">
        <w:t xml:space="preserve">) des communautés religieuses </w:t>
      </w:r>
      <w:r w:rsidR="00880050" w:rsidRPr="00844541">
        <w:t>relèvent de la</w:t>
      </w:r>
      <w:r w:rsidRPr="00844541">
        <w:t xml:space="preserve"> politique législative (et </w:t>
      </w:r>
      <w:r w:rsidR="007D775B" w:rsidRPr="00844541">
        <w:t>non du droit prétorien</w:t>
      </w:r>
      <w:r w:rsidRPr="00844541">
        <w:t>, qui tente</w:t>
      </w:r>
      <w:r w:rsidR="007D775B" w:rsidRPr="00844541">
        <w:t>rait</w:t>
      </w:r>
      <w:r w:rsidRPr="00844541">
        <w:t xml:space="preserve"> de régler de tel</w:t>
      </w:r>
      <w:r w:rsidR="001E74E1" w:rsidRPr="00844541">
        <w:t>le</w:t>
      </w:r>
      <w:r w:rsidRPr="00844541">
        <w:t xml:space="preserve">s questions par la voie </w:t>
      </w:r>
      <w:r w:rsidR="007D775B" w:rsidRPr="00844541">
        <w:lastRenderedPageBreak/>
        <w:t>judiciaire</w:t>
      </w:r>
      <w:r w:rsidRPr="00844541">
        <w:t xml:space="preserve"> en excluant la loi spéciale) ; il ne peut être soutenu qu</w:t>
      </w:r>
      <w:r w:rsidR="00587EA3" w:rsidRPr="00844541">
        <w:t xml:space="preserve">e, en instaurant le critère de la volonté des fidèles, </w:t>
      </w:r>
      <w:r w:rsidRPr="00844541">
        <w:t xml:space="preserve">une telle loi a manqué son </w:t>
      </w:r>
      <w:r w:rsidR="001D2C2E" w:rsidRPr="00844541">
        <w:t>but</w:t>
      </w:r>
      <w:r w:rsidRPr="00844541">
        <w:t xml:space="preserve"> réparateur.</w:t>
      </w:r>
    </w:p>
    <w:p w:rsidR="00B43D08" w:rsidRPr="00844541" w:rsidRDefault="00544688" w:rsidP="00844541">
      <w:pPr>
        <w:pStyle w:val="ECHRParaQuote"/>
      </w:pPr>
      <w:r w:rsidRPr="00844541">
        <w:t>La cour d</w:t>
      </w:r>
      <w:r w:rsidR="00844541">
        <w:t>’</w:t>
      </w:r>
      <w:r w:rsidRPr="00844541">
        <w:t xml:space="preserve">appel a </w:t>
      </w:r>
      <w:r w:rsidR="00587EA3" w:rsidRPr="00844541">
        <w:t xml:space="preserve">estimé </w:t>
      </w:r>
      <w:r w:rsidRPr="00844541">
        <w:t xml:space="preserve">que </w:t>
      </w:r>
      <w:r w:rsidR="00244388" w:rsidRPr="00844541">
        <w:t>le fait que l</w:t>
      </w:r>
      <w:r w:rsidR="00844541">
        <w:t>’</w:t>
      </w:r>
      <w:r w:rsidR="00244388" w:rsidRPr="00844541">
        <w:t>État avait dépossédé de manière</w:t>
      </w:r>
      <w:r w:rsidRPr="00844541">
        <w:t xml:space="preserve"> abusive </w:t>
      </w:r>
      <w:r w:rsidR="00244388" w:rsidRPr="00844541">
        <w:t>l</w:t>
      </w:r>
      <w:r w:rsidR="00844541">
        <w:t>’</w:t>
      </w:r>
      <w:r w:rsidR="00244388" w:rsidRPr="00844541">
        <w:rPr>
          <w:rFonts w:cstheme="minorHAnsi"/>
        </w:rPr>
        <w:t>É</w:t>
      </w:r>
      <w:r w:rsidR="00244388" w:rsidRPr="00844541">
        <w:t xml:space="preserve">glise </w:t>
      </w:r>
      <w:r w:rsidRPr="00844541">
        <w:t xml:space="preserve">gréco-catholique </w:t>
      </w:r>
      <w:r w:rsidR="00244388" w:rsidRPr="00844541">
        <w:t xml:space="preserve">de ses lieux de culte </w:t>
      </w:r>
      <w:r w:rsidRPr="00844541">
        <w:t xml:space="preserve">en 1948 ne peut pas être réparé dans un État de droit par un abus en sens inverse, qui ne </w:t>
      </w:r>
      <w:r w:rsidR="00B43BBC" w:rsidRPr="00844541">
        <w:t>tiendrait pas</w:t>
      </w:r>
      <w:r w:rsidRPr="00844541">
        <w:t xml:space="preserve"> compte </w:t>
      </w:r>
      <w:r w:rsidR="00B43BBC" w:rsidRPr="00844541">
        <w:t>du</w:t>
      </w:r>
      <w:r w:rsidRPr="00844541">
        <w:t xml:space="preserve"> choix de la majorité des </w:t>
      </w:r>
      <w:r w:rsidR="009907B2" w:rsidRPr="00844541">
        <w:t xml:space="preserve">fidèles </w:t>
      </w:r>
      <w:r w:rsidRPr="00844541">
        <w:t>à la date de l</w:t>
      </w:r>
      <w:r w:rsidR="00844541">
        <w:t>’</w:t>
      </w:r>
      <w:r w:rsidRPr="00844541">
        <w:t>adoption de ladite mesure</w:t>
      </w:r>
      <w:r w:rsidR="00473441" w:rsidRPr="00844541">
        <w:t>. Or</w:t>
      </w:r>
      <w:r w:rsidR="009907B2" w:rsidRPr="00844541">
        <w:t xml:space="preserve"> restituer</w:t>
      </w:r>
      <w:r w:rsidR="00473441" w:rsidRPr="00844541">
        <w:t xml:space="preserve"> des biens qui avaient appartenu à l</w:t>
      </w:r>
      <w:r w:rsidR="00844541">
        <w:t>’</w:t>
      </w:r>
      <w:r w:rsidR="00473441" w:rsidRPr="00844541">
        <w:t>Église gréco-catholique sans respecter les conditions imposées par l</w:t>
      </w:r>
      <w:r w:rsidR="00844541">
        <w:t>’</w:t>
      </w:r>
      <w:r w:rsidR="00473441" w:rsidRPr="00844541">
        <w:t>article 3</w:t>
      </w:r>
      <w:r w:rsidR="000A305F" w:rsidRPr="00844541">
        <w:t>,</w:t>
      </w:r>
      <w:r w:rsidR="00473441" w:rsidRPr="00844541">
        <w:t xml:space="preserve"> alinéa </w:t>
      </w:r>
      <w:r w:rsidR="00132B23" w:rsidRPr="00844541">
        <w:t>premier</w:t>
      </w:r>
      <w:r w:rsidR="000A305F" w:rsidRPr="00844541">
        <w:t>,</w:t>
      </w:r>
      <w:r w:rsidR="00132B23" w:rsidRPr="00844541">
        <w:t xml:space="preserve"> </w:t>
      </w:r>
      <w:r w:rsidR="00473441" w:rsidRPr="00844541">
        <w:t>du décret-loi n</w:t>
      </w:r>
      <w:r w:rsidR="00473441" w:rsidRPr="00844541">
        <w:rPr>
          <w:vertAlign w:val="superscript"/>
        </w:rPr>
        <w:t>o</w:t>
      </w:r>
      <w:r w:rsidR="00473441" w:rsidRPr="00844541">
        <w:t xml:space="preserve"> 126/1990 porterait atteinte à la stabilité et à la sécurité des rapports juridiques. La reconstitution du droit ne peut pas </w:t>
      </w:r>
      <w:r w:rsidR="009907B2" w:rsidRPr="00844541">
        <w:t>se faire</w:t>
      </w:r>
      <w:r w:rsidR="00473441" w:rsidRPr="00844541">
        <w:t xml:space="preserve"> de manière abstraite, en ignorant les réalités sociales et historiques, et l</w:t>
      </w:r>
      <w:r w:rsidR="00844541">
        <w:t>’</w:t>
      </w:r>
      <w:r w:rsidR="00473441" w:rsidRPr="00844541">
        <w:t xml:space="preserve">atténuation des anciens préjudices ne doit pas créer de nouveaux problèmes disproportionnés </w:t>
      </w:r>
      <w:r w:rsidRPr="00844541">
        <w:t>(</w:t>
      </w:r>
      <w:r w:rsidR="00EE1080" w:rsidRPr="00844541">
        <w:t>...</w:t>
      </w:r>
      <w:r w:rsidRPr="00844541">
        <w:t>).</w:t>
      </w:r>
    </w:p>
    <w:p w:rsidR="00B43D08" w:rsidRPr="00844541" w:rsidRDefault="00587EA3" w:rsidP="00844541">
      <w:pPr>
        <w:pStyle w:val="ECHRParaQuote"/>
      </w:pPr>
      <w:r w:rsidRPr="00844541">
        <w:t xml:space="preserve">Pour </w:t>
      </w:r>
      <w:r w:rsidR="00473441" w:rsidRPr="00844541">
        <w:t>e</w:t>
      </w:r>
      <w:r w:rsidR="00267E5A" w:rsidRPr="00844541">
        <w:t>ngager</w:t>
      </w:r>
      <w:r w:rsidR="00473441" w:rsidRPr="00844541">
        <w:t xml:space="preserve"> une action en revendication de droit commun </w:t>
      </w:r>
      <w:r w:rsidR="00FE1C10" w:rsidRPr="00844541">
        <w:t xml:space="preserve">sans être </w:t>
      </w:r>
      <w:r w:rsidRPr="00844541">
        <w:t>soumis</w:t>
      </w:r>
      <w:r w:rsidR="00FE1C10" w:rsidRPr="00844541">
        <w:t xml:space="preserve"> à la loi spéciale, </w:t>
      </w:r>
      <w:r w:rsidR="00473441" w:rsidRPr="00844541">
        <w:t>le</w:t>
      </w:r>
      <w:r w:rsidR="00FE1C10" w:rsidRPr="00844541">
        <w:t>s requérants doivent pouvoir se prévaloir de l</w:t>
      </w:r>
      <w:r w:rsidR="00844541">
        <w:t>’</w:t>
      </w:r>
      <w:r w:rsidR="00FE1C10" w:rsidRPr="00844541">
        <w:t>existence d</w:t>
      </w:r>
      <w:r w:rsidR="00844541">
        <w:t>’</w:t>
      </w:r>
      <w:r w:rsidR="00FE1C10" w:rsidRPr="00844541">
        <w:t>un « bien »</w:t>
      </w:r>
      <w:r w:rsidR="001D2C2E" w:rsidRPr="00844541">
        <w:t xml:space="preserve"> ou</w:t>
      </w:r>
      <w:r w:rsidR="00FE1C10" w:rsidRPr="00844541">
        <w:t xml:space="preserve"> d</w:t>
      </w:r>
      <w:r w:rsidR="00844541">
        <w:t>’</w:t>
      </w:r>
      <w:r w:rsidR="00FE1C10" w:rsidRPr="00844541">
        <w:t>un droit de propriété dans leur patrimoine</w:t>
      </w:r>
      <w:r w:rsidR="001D2C2E" w:rsidRPr="00844541">
        <w:t>.</w:t>
      </w:r>
    </w:p>
    <w:p w:rsidR="00FE1C10" w:rsidRPr="00844541" w:rsidRDefault="00FE1C10" w:rsidP="00844541">
      <w:pPr>
        <w:pStyle w:val="ECHRParaQuote"/>
      </w:pPr>
      <w:r w:rsidRPr="00844541">
        <w:t>Or, par le décret n</w:t>
      </w:r>
      <w:r w:rsidRPr="00844541">
        <w:rPr>
          <w:vertAlign w:val="superscript"/>
        </w:rPr>
        <w:t>o</w:t>
      </w:r>
      <w:r w:rsidRPr="00844541">
        <w:t xml:space="preserve"> 358/1948</w:t>
      </w:r>
      <w:r w:rsidR="0036745F" w:rsidRPr="00844541">
        <w:t>,</w:t>
      </w:r>
      <w:r w:rsidRPr="00844541">
        <w:t xml:space="preserve"> le culte gréco-catholique a été mis hors la loi et ses biens ont été </w:t>
      </w:r>
      <w:r w:rsidR="00244388" w:rsidRPr="00844541">
        <w:t>transférés à</w:t>
      </w:r>
      <w:r w:rsidRPr="00844541">
        <w:t xml:space="preserve"> l</w:t>
      </w:r>
      <w:r w:rsidR="00844541">
        <w:t>’</w:t>
      </w:r>
      <w:r w:rsidRPr="00844541">
        <w:t>État, l</w:t>
      </w:r>
      <w:r w:rsidR="00844541">
        <w:t>’</w:t>
      </w:r>
      <w:r w:rsidRPr="00844541">
        <w:t xml:space="preserve">immeuble en litige </w:t>
      </w:r>
      <w:r w:rsidR="00244388" w:rsidRPr="00844541">
        <w:t xml:space="preserve">ayant été </w:t>
      </w:r>
      <w:r w:rsidRPr="00844541">
        <w:t>inscrit dans le patrimoine de l</w:t>
      </w:r>
      <w:r w:rsidR="00844541">
        <w:t>’</w:t>
      </w:r>
      <w:r w:rsidRPr="00844541">
        <w:t>Église orthodoxe roumaine Lupeni I.</w:t>
      </w:r>
    </w:p>
    <w:p w:rsidR="009D7A92" w:rsidRPr="00844541" w:rsidRDefault="009D7A92" w:rsidP="00844541">
      <w:pPr>
        <w:pStyle w:val="ECHRParaQuote"/>
      </w:pPr>
      <w:r w:rsidRPr="00844541">
        <w:t>Le fait que par le décret-loi n</w:t>
      </w:r>
      <w:r w:rsidRPr="00844541">
        <w:rPr>
          <w:vertAlign w:val="superscript"/>
        </w:rPr>
        <w:t>o</w:t>
      </w:r>
      <w:r w:rsidRPr="00844541">
        <w:t xml:space="preserve"> 9/1989 l</w:t>
      </w:r>
      <w:r w:rsidR="00844541">
        <w:t>’</w:t>
      </w:r>
      <w:r w:rsidRPr="00844541">
        <w:t>Église roumaine uni</w:t>
      </w:r>
      <w:r w:rsidR="00313723" w:rsidRPr="00844541">
        <w:t>e à Rome (gréco</w:t>
      </w:r>
      <w:r w:rsidR="00075518" w:rsidRPr="00844541">
        <w:noBreakHyphen/>
      </w:r>
      <w:r w:rsidR="00313723" w:rsidRPr="00844541">
        <w:t>catholique)</w:t>
      </w:r>
      <w:r w:rsidRPr="00844541">
        <w:t xml:space="preserve"> a été reconnue officiellement</w:t>
      </w:r>
      <w:r w:rsidR="00F71C83" w:rsidRPr="00844541">
        <w:t>,</w:t>
      </w:r>
      <w:r w:rsidRPr="00844541">
        <w:t xml:space="preserve"> </w:t>
      </w:r>
      <w:r w:rsidR="00583433" w:rsidRPr="00844541">
        <w:t>à la suite de</w:t>
      </w:r>
      <w:r w:rsidRPr="00844541">
        <w:t xml:space="preserve"> l</w:t>
      </w:r>
      <w:r w:rsidR="00844541">
        <w:t>’</w:t>
      </w:r>
      <w:r w:rsidRPr="00844541">
        <w:t xml:space="preserve">abrogation du décret </w:t>
      </w:r>
      <w:r w:rsidR="00F71C83" w:rsidRPr="00844541">
        <w:t>n</w:t>
      </w:r>
      <w:r w:rsidR="00F71C83" w:rsidRPr="00844541">
        <w:rPr>
          <w:vertAlign w:val="superscript"/>
        </w:rPr>
        <w:t>o</w:t>
      </w:r>
      <w:r w:rsidR="00F71C83" w:rsidRPr="00844541">
        <w:t> </w:t>
      </w:r>
      <w:r w:rsidRPr="00844541">
        <w:t>358/1948</w:t>
      </w:r>
      <w:r w:rsidR="00F71C83" w:rsidRPr="00844541">
        <w:t>,</w:t>
      </w:r>
      <w:r w:rsidRPr="00844541">
        <w:t xml:space="preserve"> ne signifie pas </w:t>
      </w:r>
      <w:r w:rsidR="00346FA1" w:rsidRPr="00844541">
        <w:t>qu</w:t>
      </w:r>
      <w:r w:rsidR="00844541">
        <w:t>’</w:t>
      </w:r>
      <w:r w:rsidR="00346FA1" w:rsidRPr="00844541">
        <w:t>elle a été rétablie dans</w:t>
      </w:r>
      <w:r w:rsidR="00267E5A" w:rsidRPr="00844541">
        <w:t xml:space="preserve"> </w:t>
      </w:r>
      <w:r w:rsidRPr="00844541">
        <w:t>son droit de propriété dans la mesure où la reconstitution du droit de propriété est soumise à une procédure (à savoir les dispositions du décret-loi n</w:t>
      </w:r>
      <w:r w:rsidRPr="00844541">
        <w:rPr>
          <w:vertAlign w:val="superscript"/>
        </w:rPr>
        <w:t>o</w:t>
      </w:r>
      <w:r w:rsidRPr="00844541">
        <w:t xml:space="preserve"> 126/1990 avec ses modifications ultérieures), l</w:t>
      </w:r>
      <w:r w:rsidR="00844541">
        <w:t>’</w:t>
      </w:r>
      <w:r w:rsidRPr="00844541">
        <w:t>espérance d</w:t>
      </w:r>
      <w:r w:rsidR="00844541">
        <w:t>’</w:t>
      </w:r>
      <w:r w:rsidRPr="00844541">
        <w:t>obtenir un droit de propriété n</w:t>
      </w:r>
      <w:r w:rsidR="00844541">
        <w:t>’</w:t>
      </w:r>
      <w:r w:rsidRPr="00844541">
        <w:t>étant pa</w:t>
      </w:r>
      <w:r w:rsidR="00DE1901" w:rsidRPr="00844541">
        <w:t xml:space="preserve">s assimilée à </w:t>
      </w:r>
      <w:r w:rsidR="00E3671E" w:rsidRPr="00844541">
        <w:t>un</w:t>
      </w:r>
      <w:r w:rsidR="00DE1901" w:rsidRPr="00844541">
        <w:t xml:space="preserve"> bien (</w:t>
      </w:r>
      <w:r w:rsidR="00EE1080" w:rsidRPr="00844541">
        <w:t>...</w:t>
      </w:r>
      <w:r w:rsidR="00DE1901" w:rsidRPr="00844541">
        <w:t>).</w:t>
      </w:r>
    </w:p>
    <w:p w:rsidR="00B43D08" w:rsidRPr="00844541" w:rsidRDefault="00544688" w:rsidP="00844541">
      <w:pPr>
        <w:pStyle w:val="ECHRParaQuote"/>
      </w:pPr>
      <w:r w:rsidRPr="00844541">
        <w:t>Contrairement à ce que soutient l</w:t>
      </w:r>
      <w:r w:rsidR="007C32B7" w:rsidRPr="00844541">
        <w:t>es</w:t>
      </w:r>
      <w:r w:rsidRPr="00844541">
        <w:t xml:space="preserve"> </w:t>
      </w:r>
      <w:r w:rsidR="007C32B7" w:rsidRPr="00844541">
        <w:t>par</w:t>
      </w:r>
      <w:r w:rsidR="000D5A74" w:rsidRPr="00844541">
        <w:t>t</w:t>
      </w:r>
      <w:r w:rsidR="007C32B7" w:rsidRPr="00844541">
        <w:t>ies qui ont formé le pourvoi en recours [</w:t>
      </w:r>
      <w:r w:rsidR="007C32B7" w:rsidRPr="00844541">
        <w:rPr>
          <w:i/>
        </w:rPr>
        <w:t>recurentilor</w:t>
      </w:r>
      <w:r w:rsidR="007C32B7" w:rsidRPr="00844541">
        <w:t>]</w:t>
      </w:r>
      <w:r w:rsidRPr="00844541">
        <w:t>, la solution adoptée ne porte pas atteinte à la liberté de pratiquer une religion, car</w:t>
      </w:r>
      <w:r w:rsidR="008F0119" w:rsidRPr="00844541">
        <w:t>,</w:t>
      </w:r>
      <w:r w:rsidRPr="00844541">
        <w:t xml:space="preserve"> comme </w:t>
      </w:r>
      <w:r w:rsidR="008F0119" w:rsidRPr="00844541">
        <w:t>elle le soutient</w:t>
      </w:r>
      <w:r w:rsidRPr="00844541">
        <w:t xml:space="preserve"> dans ses propres observations</w:t>
      </w:r>
      <w:r w:rsidR="008F0119" w:rsidRPr="00844541">
        <w:t>,</w:t>
      </w:r>
      <w:r w:rsidRPr="00844541">
        <w:t xml:space="preserve"> </w:t>
      </w:r>
      <w:r w:rsidR="008F0119" w:rsidRPr="00844541">
        <w:t>« </w:t>
      </w:r>
      <w:r w:rsidRPr="00844541">
        <w:rPr>
          <w:i/>
        </w:rPr>
        <w:t>la pratique d</w:t>
      </w:r>
      <w:r w:rsidR="00844541">
        <w:rPr>
          <w:i/>
        </w:rPr>
        <w:t>’</w:t>
      </w:r>
      <w:r w:rsidRPr="00844541">
        <w:rPr>
          <w:i/>
        </w:rPr>
        <w:t>une religion est une question intime </w:t>
      </w:r>
      <w:r w:rsidRPr="00844541">
        <w:t xml:space="preserve">» qui consiste principalement </w:t>
      </w:r>
      <w:r w:rsidR="00267E5A" w:rsidRPr="00844541">
        <w:t xml:space="preserve">en </w:t>
      </w:r>
      <w:r w:rsidRPr="00844541">
        <w:t>un « </w:t>
      </w:r>
      <w:r w:rsidRPr="00844541">
        <w:rPr>
          <w:i/>
        </w:rPr>
        <w:t>investissement spirituel fort et personnel</w:t>
      </w:r>
      <w:r w:rsidR="008F0119" w:rsidRPr="00844541">
        <w:rPr>
          <w:i/>
        </w:rPr>
        <w:t> </w:t>
      </w:r>
      <w:r w:rsidRPr="00844541">
        <w:t>». En même temps, le législateur a prévu l</w:t>
      </w:r>
      <w:r w:rsidR="00844541">
        <w:t>’</w:t>
      </w:r>
      <w:r w:rsidRPr="00844541">
        <w:t xml:space="preserve">hypothèse dans laquelle les lieux de culte ne </w:t>
      </w:r>
      <w:r w:rsidR="008F0119" w:rsidRPr="00844541">
        <w:t xml:space="preserve">pouvaient </w:t>
      </w:r>
      <w:r w:rsidRPr="00844541">
        <w:t>pas être restitués en nature ; ainsi, l</w:t>
      </w:r>
      <w:r w:rsidR="00844541">
        <w:t>’</w:t>
      </w:r>
      <w:r w:rsidRPr="00844541">
        <w:t>article 4 du décret-loi n</w:t>
      </w:r>
      <w:r w:rsidRPr="00844541">
        <w:rPr>
          <w:vertAlign w:val="superscript"/>
        </w:rPr>
        <w:t>o</w:t>
      </w:r>
      <w:r w:rsidRPr="00844541">
        <w:t xml:space="preserve"> 126/1990 prévoit que « </w:t>
      </w:r>
      <w:r w:rsidRPr="00844541">
        <w:rPr>
          <w:i/>
        </w:rPr>
        <w:t>dans les communes o</w:t>
      </w:r>
      <w:r w:rsidR="00267E5A" w:rsidRPr="00844541">
        <w:rPr>
          <w:i/>
        </w:rPr>
        <w:t>ù</w:t>
      </w:r>
      <w:r w:rsidRPr="00844541">
        <w:rPr>
          <w:i/>
        </w:rPr>
        <w:t xml:space="preserve"> le nombre de lieux de culte est insuffisant par rapport au nombre des </w:t>
      </w:r>
      <w:r w:rsidR="00F1175E" w:rsidRPr="00844541">
        <w:rPr>
          <w:i/>
        </w:rPr>
        <w:t>fidèles</w:t>
      </w:r>
      <w:r w:rsidRPr="00844541">
        <w:rPr>
          <w:i/>
        </w:rPr>
        <w:t>, l</w:t>
      </w:r>
      <w:r w:rsidR="00844541">
        <w:rPr>
          <w:i/>
        </w:rPr>
        <w:t>’</w:t>
      </w:r>
      <w:r w:rsidRPr="00844541">
        <w:rPr>
          <w:i/>
        </w:rPr>
        <w:t>État apporter</w:t>
      </w:r>
      <w:r w:rsidR="008F0119" w:rsidRPr="00844541">
        <w:rPr>
          <w:i/>
        </w:rPr>
        <w:t>a</w:t>
      </w:r>
      <w:r w:rsidRPr="00844541">
        <w:rPr>
          <w:i/>
        </w:rPr>
        <w:t xml:space="preserve"> son soutien </w:t>
      </w:r>
      <w:r w:rsidR="008F0119" w:rsidRPr="00844541">
        <w:rPr>
          <w:i/>
        </w:rPr>
        <w:t xml:space="preserve">à </w:t>
      </w:r>
      <w:r w:rsidRPr="00844541">
        <w:rPr>
          <w:i/>
        </w:rPr>
        <w:t>la construction de nouvelles église</w:t>
      </w:r>
      <w:r w:rsidR="0010095B" w:rsidRPr="00844541">
        <w:rPr>
          <w:i/>
        </w:rPr>
        <w:t>s</w:t>
      </w:r>
      <w:r w:rsidRPr="00844541">
        <w:rPr>
          <w:i/>
        </w:rPr>
        <w:t xml:space="preserve"> ; à cette fin, il mettra à la disposition de ces cultes le terrain </w:t>
      </w:r>
      <w:r w:rsidR="00346FA1" w:rsidRPr="00844541">
        <w:rPr>
          <w:i/>
        </w:rPr>
        <w:t xml:space="preserve">requis </w:t>
      </w:r>
      <w:r w:rsidRPr="00844541">
        <w:rPr>
          <w:i/>
        </w:rPr>
        <w:t>si le culte n</w:t>
      </w:r>
      <w:r w:rsidR="00844541">
        <w:rPr>
          <w:i/>
        </w:rPr>
        <w:t>’</w:t>
      </w:r>
      <w:r w:rsidRPr="00844541">
        <w:rPr>
          <w:i/>
        </w:rPr>
        <w:t xml:space="preserve">en dispose pas et </w:t>
      </w:r>
      <w:r w:rsidR="008F0119" w:rsidRPr="00844541">
        <w:rPr>
          <w:i/>
        </w:rPr>
        <w:t xml:space="preserve">il </w:t>
      </w:r>
      <w:r w:rsidRPr="00844541">
        <w:rPr>
          <w:i/>
        </w:rPr>
        <w:t>contribuera à la collecte des fonds nécessaires</w:t>
      </w:r>
      <w:r w:rsidRPr="00844541">
        <w:t> ».</w:t>
      </w:r>
    </w:p>
    <w:p w:rsidR="00544688" w:rsidRPr="00844541" w:rsidRDefault="00544688" w:rsidP="00844541">
      <w:pPr>
        <w:pStyle w:val="ECHRParaQuote"/>
      </w:pPr>
      <w:r w:rsidRPr="00844541">
        <w:t>De cette manière, l</w:t>
      </w:r>
      <w:r w:rsidR="00844541">
        <w:t>’</w:t>
      </w:r>
      <w:r w:rsidRPr="00844541">
        <w:t>État</w:t>
      </w:r>
      <w:r w:rsidR="00CE2771" w:rsidRPr="00844541">
        <w:t>,</w:t>
      </w:r>
      <w:r w:rsidRPr="00844541">
        <w:t xml:space="preserve"> en tant qu</w:t>
      </w:r>
      <w:r w:rsidR="00844541">
        <w:t>’</w:t>
      </w:r>
      <w:r w:rsidRPr="00844541">
        <w:t>autorité compétente pour contrôler la vie sociale</w:t>
      </w:r>
      <w:r w:rsidR="00CE2771" w:rsidRPr="00844541">
        <w:t>,</w:t>
      </w:r>
      <w:r w:rsidRPr="00844541">
        <w:t xml:space="preserve"> va </w:t>
      </w:r>
      <w:r w:rsidR="00346FA1" w:rsidRPr="00844541">
        <w:t xml:space="preserve">garantir que </w:t>
      </w:r>
      <w:r w:rsidRPr="00844541">
        <w:t xml:space="preserve">les conditions </w:t>
      </w:r>
      <w:r w:rsidR="00346FA1" w:rsidRPr="00844541">
        <w:t xml:space="preserve">nécessaires à </w:t>
      </w:r>
      <w:r w:rsidR="00CE2771" w:rsidRPr="00844541">
        <w:t xml:space="preserve">la </w:t>
      </w:r>
      <w:r w:rsidRPr="00844541">
        <w:t xml:space="preserve">manifestation des croyances religieuses </w:t>
      </w:r>
      <w:r w:rsidR="00346FA1" w:rsidRPr="00844541">
        <w:t xml:space="preserve">sont réunies </w:t>
      </w:r>
      <w:r w:rsidRPr="00844541">
        <w:t xml:space="preserve">sans </w:t>
      </w:r>
      <w:r w:rsidR="00346FA1" w:rsidRPr="00844541">
        <w:t xml:space="preserve">que </w:t>
      </w:r>
      <w:r w:rsidRPr="00844541">
        <w:t>(</w:t>
      </w:r>
      <w:r w:rsidR="00EE1080" w:rsidRPr="00844541">
        <w:t>...</w:t>
      </w:r>
      <w:r w:rsidRPr="00844541">
        <w:t xml:space="preserve">) </w:t>
      </w:r>
      <w:r w:rsidR="00346FA1" w:rsidRPr="00844541">
        <w:t>l</w:t>
      </w:r>
      <w:r w:rsidR="00844541">
        <w:t>’</w:t>
      </w:r>
      <w:r w:rsidR="00346FA1" w:rsidRPr="00844541">
        <w:t>exercice de ce droit soit</w:t>
      </w:r>
      <w:r w:rsidRPr="00844541">
        <w:t xml:space="preserve"> </w:t>
      </w:r>
      <w:r w:rsidR="00346FA1" w:rsidRPr="00844541">
        <w:t xml:space="preserve">limité </w:t>
      </w:r>
      <w:r w:rsidRPr="00844541">
        <w:t xml:space="preserve">par le nombre des </w:t>
      </w:r>
      <w:r w:rsidR="00CE2771" w:rsidRPr="00844541">
        <w:t>fidèles</w:t>
      </w:r>
      <w:r w:rsidRPr="00844541">
        <w:t xml:space="preserve"> (limitation d</w:t>
      </w:r>
      <w:r w:rsidR="00844541">
        <w:t>’</w:t>
      </w:r>
      <w:r w:rsidRPr="00844541">
        <w:t xml:space="preserve">ordre matériel). Il </w:t>
      </w:r>
      <w:r w:rsidR="00CE2771" w:rsidRPr="00844541">
        <w:t>s</w:t>
      </w:r>
      <w:r w:rsidR="00844541">
        <w:t>’</w:t>
      </w:r>
      <w:r w:rsidR="00CE2771" w:rsidRPr="00844541">
        <w:t>agit</w:t>
      </w:r>
      <w:r w:rsidRPr="00844541">
        <w:t xml:space="preserve"> ici pour l</w:t>
      </w:r>
      <w:r w:rsidR="00844541">
        <w:t>’</w:t>
      </w:r>
      <w:r w:rsidRPr="00844541">
        <w:t>État de remplir une obligation positive afin de contribuer à la réalisation de l</w:t>
      </w:r>
      <w:r w:rsidR="00844541">
        <w:t>’</w:t>
      </w:r>
      <w:r w:rsidRPr="00844541">
        <w:t>exercice effectif du droit à la liberté de conscience et de religion</w:t>
      </w:r>
      <w:r w:rsidR="000A305F" w:rsidRPr="00844541">
        <w:t xml:space="preserve"> </w:t>
      </w:r>
      <w:r w:rsidRPr="00844541">
        <w:t>(</w:t>
      </w:r>
      <w:r w:rsidR="00EE1080" w:rsidRPr="00844541">
        <w:t>...</w:t>
      </w:r>
      <w:r w:rsidRPr="00844541">
        <w:t>) »</w:t>
      </w:r>
    </w:p>
    <w:p w:rsidR="00544688" w:rsidRPr="00844541" w:rsidRDefault="0054468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35</w:t>
      </w:r>
      <w:r w:rsidRPr="00844541">
        <w:fldChar w:fldCharType="end"/>
      </w:r>
      <w:r w:rsidRPr="00844541">
        <w:rPr>
          <w:lang w:val="fr-FR"/>
        </w:rPr>
        <w:t>.  Dans une opinion séparée, l</w:t>
      </w:r>
      <w:r w:rsidR="00844541">
        <w:rPr>
          <w:lang w:val="fr-FR"/>
        </w:rPr>
        <w:t>’</w:t>
      </w:r>
      <w:r w:rsidRPr="00844541">
        <w:rPr>
          <w:lang w:val="fr-FR"/>
        </w:rPr>
        <w:t>un des juges de la formation de jugement releva</w:t>
      </w:r>
      <w:r w:rsidR="009C12C4" w:rsidRPr="00844541">
        <w:rPr>
          <w:lang w:val="fr-FR"/>
        </w:rPr>
        <w:t>it</w:t>
      </w:r>
      <w:r w:rsidRPr="00844541">
        <w:rPr>
          <w:lang w:val="fr-FR"/>
        </w:rPr>
        <w:t xml:space="preserve"> que le renvoi au droit commun par le législateur ne pouvait pas être réduit à une dimension purement procédurale, mais </w:t>
      </w:r>
      <w:r w:rsidR="009C12C4" w:rsidRPr="00844541">
        <w:rPr>
          <w:lang w:val="fr-FR"/>
        </w:rPr>
        <w:t>qu</w:t>
      </w:r>
      <w:r w:rsidR="00844541">
        <w:rPr>
          <w:lang w:val="fr-FR"/>
        </w:rPr>
        <w:t>’</w:t>
      </w:r>
      <w:r w:rsidR="009C12C4" w:rsidRPr="00844541">
        <w:rPr>
          <w:lang w:val="fr-FR"/>
        </w:rPr>
        <w:t xml:space="preserve">il </w:t>
      </w:r>
      <w:r w:rsidRPr="00844541">
        <w:rPr>
          <w:lang w:val="fr-FR"/>
        </w:rPr>
        <w:t xml:space="preserve">devait être interprété comme </w:t>
      </w:r>
      <w:r w:rsidR="00606475" w:rsidRPr="00844541">
        <w:rPr>
          <w:lang w:val="fr-FR"/>
        </w:rPr>
        <w:t>l</w:t>
      </w:r>
      <w:r w:rsidR="00844541">
        <w:rPr>
          <w:lang w:val="fr-FR"/>
        </w:rPr>
        <w:t>’</w:t>
      </w:r>
      <w:r w:rsidRPr="00844541">
        <w:rPr>
          <w:lang w:val="fr-FR"/>
        </w:rPr>
        <w:t>application d</w:t>
      </w:r>
      <w:r w:rsidR="00844541">
        <w:rPr>
          <w:lang w:val="fr-FR"/>
        </w:rPr>
        <w:t>’</w:t>
      </w:r>
      <w:r w:rsidRPr="00844541">
        <w:rPr>
          <w:lang w:val="fr-FR"/>
        </w:rPr>
        <w:t>une règle d</w:t>
      </w:r>
      <w:r w:rsidR="00606475" w:rsidRPr="00844541">
        <w:rPr>
          <w:lang w:val="fr-FR"/>
        </w:rPr>
        <w:t>e</w:t>
      </w:r>
      <w:r w:rsidRPr="00844541">
        <w:rPr>
          <w:lang w:val="fr-FR"/>
        </w:rPr>
        <w:t xml:space="preserve"> droit </w:t>
      </w:r>
      <w:r w:rsidR="00F04B00" w:rsidRPr="00844541">
        <w:rPr>
          <w:lang w:val="fr-FR"/>
        </w:rPr>
        <w:t>matériel</w:t>
      </w:r>
      <w:r w:rsidRPr="00844541">
        <w:rPr>
          <w:lang w:val="fr-FR"/>
        </w:rPr>
        <w:t xml:space="preserve">. Se référant </w:t>
      </w:r>
      <w:r w:rsidR="00C3796D" w:rsidRPr="00844541">
        <w:rPr>
          <w:lang w:val="fr-FR"/>
        </w:rPr>
        <w:t xml:space="preserve">aux </w:t>
      </w:r>
      <w:r w:rsidRPr="00844541">
        <w:rPr>
          <w:lang w:val="fr-FR"/>
        </w:rPr>
        <w:t>règles concernant l</w:t>
      </w:r>
      <w:r w:rsidR="00844541">
        <w:rPr>
          <w:lang w:val="fr-FR"/>
        </w:rPr>
        <w:t>’</w:t>
      </w:r>
      <w:r w:rsidRPr="00844541">
        <w:rPr>
          <w:lang w:val="fr-FR"/>
        </w:rPr>
        <w:t>élaboration des actes normatifs, le juge indiqua</w:t>
      </w:r>
      <w:r w:rsidR="009C12C4" w:rsidRPr="00844541">
        <w:rPr>
          <w:lang w:val="fr-FR"/>
        </w:rPr>
        <w:t>it</w:t>
      </w:r>
      <w:r w:rsidRPr="00844541">
        <w:rPr>
          <w:lang w:val="fr-FR"/>
        </w:rPr>
        <w:t xml:space="preserve"> que, si le législateur avait voulu donner une signification spécifique à la ladite référence au « droit commun », il aurait dû le faire expressément. Il cita</w:t>
      </w:r>
      <w:r w:rsidR="009C12C4" w:rsidRPr="00844541">
        <w:rPr>
          <w:lang w:val="fr-FR"/>
        </w:rPr>
        <w:t>it</w:t>
      </w:r>
      <w:r w:rsidRPr="00844541">
        <w:rPr>
          <w:lang w:val="fr-FR"/>
        </w:rPr>
        <w:t xml:space="preserve"> également l</w:t>
      </w:r>
      <w:r w:rsidR="00844541">
        <w:rPr>
          <w:lang w:val="fr-FR"/>
        </w:rPr>
        <w:t>’</w:t>
      </w:r>
      <w:r w:rsidRPr="00844541">
        <w:rPr>
          <w:lang w:val="fr-FR"/>
        </w:rPr>
        <w:t>article 31 § 3 de la loi n</w:t>
      </w:r>
      <w:r w:rsidRPr="00844541">
        <w:rPr>
          <w:vertAlign w:val="superscript"/>
          <w:lang w:val="fr-FR"/>
        </w:rPr>
        <w:t>o</w:t>
      </w:r>
      <w:r w:rsidR="008F6434" w:rsidRPr="00844541">
        <w:rPr>
          <w:lang w:val="fr-FR"/>
        </w:rPr>
        <w:t> </w:t>
      </w:r>
      <w:r w:rsidRPr="00844541">
        <w:rPr>
          <w:lang w:val="fr-FR"/>
        </w:rPr>
        <w:t xml:space="preserve">489/2006 </w:t>
      </w:r>
      <w:r w:rsidRPr="00844541">
        <w:rPr>
          <w:lang w:val="fr-FR"/>
        </w:rPr>
        <w:lastRenderedPageBreak/>
        <w:t>relative à la liberté religieuse et au régime général des cultes</w:t>
      </w:r>
      <w:r w:rsidR="009C12C4" w:rsidRPr="00844541">
        <w:rPr>
          <w:lang w:val="fr-FR"/>
        </w:rPr>
        <w:t>,</w:t>
      </w:r>
      <w:r w:rsidRPr="00844541">
        <w:rPr>
          <w:lang w:val="fr-FR"/>
        </w:rPr>
        <w:t xml:space="preserve"> selon lequel les différends patrimonia</w:t>
      </w:r>
      <w:r w:rsidR="00AF64D8" w:rsidRPr="00844541">
        <w:rPr>
          <w:lang w:val="fr-FR"/>
        </w:rPr>
        <w:t>ux</w:t>
      </w:r>
      <w:r w:rsidRPr="00844541">
        <w:rPr>
          <w:lang w:val="fr-FR"/>
        </w:rPr>
        <w:t xml:space="preserve"> entre des cultes se régl</w:t>
      </w:r>
      <w:r w:rsidR="009C12C4" w:rsidRPr="00844541">
        <w:rPr>
          <w:lang w:val="fr-FR"/>
        </w:rPr>
        <w:t>er</w:t>
      </w:r>
      <w:r w:rsidRPr="00844541">
        <w:rPr>
          <w:lang w:val="fr-FR"/>
        </w:rPr>
        <w:t xml:space="preserve">aient par la voie amiable et, le cas échéant, </w:t>
      </w:r>
      <w:r w:rsidR="009C12C4" w:rsidRPr="00844541">
        <w:rPr>
          <w:lang w:val="fr-FR"/>
        </w:rPr>
        <w:t>sur le fondement du</w:t>
      </w:r>
      <w:r w:rsidRPr="00844541">
        <w:rPr>
          <w:lang w:val="fr-FR"/>
        </w:rPr>
        <w:t xml:space="preserve"> droit commun. Après avoir indiqué que l</w:t>
      </w:r>
      <w:r w:rsidR="00844541">
        <w:rPr>
          <w:lang w:val="fr-FR"/>
        </w:rPr>
        <w:t>’</w:t>
      </w:r>
      <w:r w:rsidRPr="00844541">
        <w:rPr>
          <w:lang w:val="fr-FR"/>
        </w:rPr>
        <w:t>action en revendication impliqu</w:t>
      </w:r>
      <w:r w:rsidR="00CC1C0F" w:rsidRPr="00844541">
        <w:rPr>
          <w:lang w:val="fr-FR"/>
        </w:rPr>
        <w:t>ait</w:t>
      </w:r>
      <w:r w:rsidRPr="00844541">
        <w:rPr>
          <w:lang w:val="fr-FR"/>
        </w:rPr>
        <w:t xml:space="preserve"> la comparaison des titres</w:t>
      </w:r>
      <w:r w:rsidR="00346FA1" w:rsidRPr="00844541">
        <w:rPr>
          <w:lang w:val="fr-FR"/>
        </w:rPr>
        <w:t xml:space="preserve"> de propriété</w:t>
      </w:r>
      <w:r w:rsidRPr="00844541">
        <w:rPr>
          <w:lang w:val="fr-FR"/>
        </w:rPr>
        <w:t xml:space="preserve">, le juge </w:t>
      </w:r>
      <w:r w:rsidR="00DD025F" w:rsidRPr="00844541">
        <w:rPr>
          <w:lang w:val="fr-FR"/>
        </w:rPr>
        <w:t xml:space="preserve">conclut </w:t>
      </w:r>
      <w:r w:rsidR="00346FA1" w:rsidRPr="00844541">
        <w:rPr>
          <w:lang w:val="fr-FR"/>
        </w:rPr>
        <w:t>que</w:t>
      </w:r>
      <w:r w:rsidRPr="00844541">
        <w:rPr>
          <w:lang w:val="fr-FR"/>
        </w:rPr>
        <w:t xml:space="preserve"> l</w:t>
      </w:r>
      <w:r w:rsidR="00844541">
        <w:rPr>
          <w:lang w:val="fr-FR"/>
        </w:rPr>
        <w:t>’</w:t>
      </w:r>
      <w:r w:rsidR="009C12C4" w:rsidRPr="00844541">
        <w:rPr>
          <w:rFonts w:cstheme="minorHAnsi"/>
          <w:lang w:val="fr-FR"/>
        </w:rPr>
        <w:t>É</w:t>
      </w:r>
      <w:r w:rsidRPr="00844541">
        <w:rPr>
          <w:lang w:val="fr-FR"/>
        </w:rPr>
        <w:t xml:space="preserve">glise orthodoxe </w:t>
      </w:r>
      <w:r w:rsidR="00346FA1" w:rsidRPr="00844541">
        <w:rPr>
          <w:lang w:val="fr-FR"/>
        </w:rPr>
        <w:t>n</w:t>
      </w:r>
      <w:r w:rsidR="00844541">
        <w:rPr>
          <w:lang w:val="fr-FR"/>
        </w:rPr>
        <w:t>’</w:t>
      </w:r>
      <w:r w:rsidR="00346FA1" w:rsidRPr="00844541">
        <w:rPr>
          <w:lang w:val="fr-FR"/>
        </w:rPr>
        <w:t xml:space="preserve">en possédait pas </w:t>
      </w:r>
      <w:r w:rsidRPr="00844541">
        <w:rPr>
          <w:lang w:val="fr-FR"/>
        </w:rPr>
        <w:t xml:space="preserve">sur </w:t>
      </w:r>
      <w:r w:rsidR="00EB0F63" w:rsidRPr="00844541">
        <w:rPr>
          <w:lang w:val="fr-FR"/>
        </w:rPr>
        <w:t xml:space="preserve">le </w:t>
      </w:r>
      <w:r w:rsidRPr="00844541">
        <w:rPr>
          <w:lang w:val="fr-FR"/>
        </w:rPr>
        <w:t>lieu de culte</w:t>
      </w:r>
      <w:r w:rsidR="00EB0F63" w:rsidRPr="00844541">
        <w:rPr>
          <w:lang w:val="fr-FR"/>
        </w:rPr>
        <w:t xml:space="preserve"> en litige</w:t>
      </w:r>
      <w:r w:rsidRPr="00844541">
        <w:rPr>
          <w:lang w:val="fr-FR"/>
        </w:rPr>
        <w:t>.</w:t>
      </w:r>
    </w:p>
    <w:p w:rsidR="00951510" w:rsidRPr="00844541" w:rsidRDefault="00DD15F9" w:rsidP="00844541">
      <w:pPr>
        <w:pStyle w:val="ECHRHeading2"/>
      </w:pPr>
      <w:r w:rsidRPr="00844541">
        <w:t>D</w:t>
      </w:r>
      <w:r w:rsidR="00951510" w:rsidRPr="00844541">
        <w:t>.</w:t>
      </w:r>
      <w:r w:rsidR="00EF6162" w:rsidRPr="00844541">
        <w:t>  </w:t>
      </w:r>
      <w:r w:rsidR="00BB625B" w:rsidRPr="00844541">
        <w:t>A</w:t>
      </w:r>
      <w:r w:rsidR="00951510" w:rsidRPr="00844541">
        <w:t xml:space="preserve">utres </w:t>
      </w:r>
      <w:r w:rsidR="00BB625B" w:rsidRPr="00844541">
        <w:t>informations</w:t>
      </w:r>
      <w:r w:rsidR="00951510" w:rsidRPr="00844541">
        <w:t xml:space="preserve"> concernant l</w:t>
      </w:r>
      <w:r w:rsidR="00844541">
        <w:t>’</w:t>
      </w:r>
      <w:r w:rsidR="00951510" w:rsidRPr="00844541">
        <w:t>affaire</w:t>
      </w:r>
    </w:p>
    <w:p w:rsidR="00544688" w:rsidRPr="00844541" w:rsidRDefault="00AA632A"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36</w:t>
      </w:r>
      <w:r w:rsidRPr="00844541">
        <w:rPr>
          <w:noProof/>
        </w:rPr>
        <w:fldChar w:fldCharType="end"/>
      </w:r>
      <w:r w:rsidR="00544688" w:rsidRPr="00844541">
        <w:rPr>
          <w:lang w:val="fr-FR"/>
        </w:rPr>
        <w:t>.  D</w:t>
      </w:r>
      <w:r w:rsidR="00844541">
        <w:rPr>
          <w:lang w:val="fr-FR"/>
        </w:rPr>
        <w:t>’</w:t>
      </w:r>
      <w:r w:rsidR="00544688" w:rsidRPr="00844541">
        <w:rPr>
          <w:lang w:val="fr-FR"/>
        </w:rPr>
        <w:t>après une note fournie par l</w:t>
      </w:r>
      <w:r w:rsidR="00844541">
        <w:rPr>
          <w:lang w:val="fr-FR"/>
        </w:rPr>
        <w:t>’</w:t>
      </w:r>
      <w:r w:rsidR="00544688" w:rsidRPr="00844541">
        <w:rPr>
          <w:lang w:val="fr-FR"/>
        </w:rPr>
        <w:t xml:space="preserve">institut national de statistique, il y avait </w:t>
      </w:r>
      <w:r w:rsidR="009C12C4" w:rsidRPr="00844541">
        <w:rPr>
          <w:lang w:val="fr-FR"/>
        </w:rPr>
        <w:t xml:space="preserve">en 2002 </w:t>
      </w:r>
      <w:r w:rsidR="000A305F" w:rsidRPr="00844541">
        <w:rPr>
          <w:lang w:val="fr-FR"/>
        </w:rPr>
        <w:t xml:space="preserve">à Lupeni </w:t>
      </w:r>
      <w:r w:rsidR="00544688" w:rsidRPr="00844541">
        <w:rPr>
          <w:lang w:val="fr-FR"/>
        </w:rPr>
        <w:t xml:space="preserve">501 </w:t>
      </w:r>
      <w:r w:rsidR="009C12C4" w:rsidRPr="00844541">
        <w:rPr>
          <w:lang w:val="fr-FR"/>
        </w:rPr>
        <w:t xml:space="preserve">fidèles </w:t>
      </w:r>
      <w:r w:rsidR="00544688" w:rsidRPr="00844541">
        <w:rPr>
          <w:lang w:val="fr-FR"/>
        </w:rPr>
        <w:t>gréco</w:t>
      </w:r>
      <w:r w:rsidR="000A305F" w:rsidRPr="00844541">
        <w:rPr>
          <w:lang w:val="fr-FR"/>
        </w:rPr>
        <w:t>-</w:t>
      </w:r>
      <w:r w:rsidR="00544688" w:rsidRPr="00844541">
        <w:rPr>
          <w:lang w:val="fr-FR"/>
        </w:rPr>
        <w:t xml:space="preserve">catholiques et 24 815 </w:t>
      </w:r>
      <w:r w:rsidR="009C12C4" w:rsidRPr="00844541">
        <w:rPr>
          <w:lang w:val="fr-FR"/>
        </w:rPr>
        <w:t xml:space="preserve">fidèles </w:t>
      </w:r>
      <w:r w:rsidR="00544688" w:rsidRPr="00844541">
        <w:rPr>
          <w:lang w:val="fr-FR"/>
        </w:rPr>
        <w:t xml:space="preserve">orthodoxes. </w:t>
      </w:r>
      <w:r w:rsidR="003E6244" w:rsidRPr="00844541">
        <w:rPr>
          <w:lang w:val="fr-FR"/>
        </w:rPr>
        <w:t>À</w:t>
      </w:r>
      <w:r w:rsidR="00544688" w:rsidRPr="00844541">
        <w:rPr>
          <w:lang w:val="fr-FR"/>
        </w:rPr>
        <w:t xml:space="preserve"> </w:t>
      </w:r>
      <w:r w:rsidR="009C12C4" w:rsidRPr="00844541">
        <w:rPr>
          <w:lang w:val="fr-FR"/>
        </w:rPr>
        <w:t>ce jour</w:t>
      </w:r>
      <w:r w:rsidR="00544688" w:rsidRPr="00844541">
        <w:rPr>
          <w:lang w:val="fr-FR"/>
        </w:rPr>
        <w:t>, la paroisse requérante organise le service religieux</w:t>
      </w:r>
      <w:r w:rsidR="009C12C4" w:rsidRPr="00844541">
        <w:rPr>
          <w:lang w:val="fr-FR"/>
        </w:rPr>
        <w:t xml:space="preserve"> à un horaire préétabli </w:t>
      </w:r>
      <w:r w:rsidR="00544688" w:rsidRPr="00844541">
        <w:rPr>
          <w:lang w:val="fr-FR"/>
        </w:rPr>
        <w:t>dans des locaux que lui loue l</w:t>
      </w:r>
      <w:r w:rsidR="00844541">
        <w:rPr>
          <w:lang w:val="fr-FR"/>
        </w:rPr>
        <w:t>’</w:t>
      </w:r>
      <w:r w:rsidR="00250C29" w:rsidRPr="00844541">
        <w:rPr>
          <w:lang w:val="fr-FR"/>
        </w:rPr>
        <w:t>Église</w:t>
      </w:r>
      <w:r w:rsidR="00544688" w:rsidRPr="00844541">
        <w:rPr>
          <w:lang w:val="fr-FR"/>
        </w:rPr>
        <w:t xml:space="preserve"> romano-catholique de Lupeni.</w:t>
      </w:r>
    </w:p>
    <w:p w:rsidR="0000732D" w:rsidRPr="00844541" w:rsidRDefault="0000732D" w:rsidP="00844541">
      <w:pPr>
        <w:pStyle w:val="ECHRHeading1"/>
      </w:pPr>
      <w:r w:rsidRPr="00844541">
        <w:t>II.  LE DROIT ET LA PRATIQUE INTERNES PERTINENTS</w:t>
      </w:r>
    </w:p>
    <w:p w:rsidR="00F524C8" w:rsidRPr="00844541" w:rsidRDefault="00F524C8" w:rsidP="00844541">
      <w:pPr>
        <w:pStyle w:val="ECHRHeading2"/>
      </w:pPr>
      <w:r w:rsidRPr="00844541">
        <w:t>A.</w:t>
      </w:r>
      <w:r w:rsidR="00EF6162" w:rsidRPr="00844541">
        <w:t>  </w:t>
      </w:r>
      <w:r w:rsidRPr="00844541">
        <w:t>Les dispositions légales concernan</w:t>
      </w:r>
      <w:r w:rsidR="00973EC1" w:rsidRPr="00844541">
        <w:t>t les lieux de culte</w:t>
      </w:r>
    </w:p>
    <w:p w:rsidR="00713D4F" w:rsidRPr="00844541" w:rsidRDefault="00AA632A" w:rsidP="00844541">
      <w:pPr>
        <w:pStyle w:val="ECHRPara"/>
        <w:rPr>
          <w:snapToGrid w:val="0"/>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37</w:t>
      </w:r>
      <w:r w:rsidRPr="00844541">
        <w:rPr>
          <w:noProof/>
        </w:rPr>
        <w:fldChar w:fldCharType="end"/>
      </w:r>
      <w:r w:rsidR="00713D4F" w:rsidRPr="00844541">
        <w:rPr>
          <w:lang w:val="fr-FR"/>
        </w:rPr>
        <w:t>.  Le droit interne pertinent</w:t>
      </w:r>
      <w:r w:rsidR="00AE17FD" w:rsidRPr="00844541">
        <w:rPr>
          <w:lang w:val="fr-FR"/>
        </w:rPr>
        <w:t xml:space="preserve"> en l</w:t>
      </w:r>
      <w:r w:rsidR="00844541">
        <w:rPr>
          <w:lang w:val="fr-FR"/>
        </w:rPr>
        <w:t>’</w:t>
      </w:r>
      <w:r w:rsidR="00AE17FD" w:rsidRPr="00844541">
        <w:rPr>
          <w:lang w:val="fr-FR"/>
        </w:rPr>
        <w:t>espèce</w:t>
      </w:r>
      <w:r w:rsidR="00A56E15" w:rsidRPr="00844541">
        <w:rPr>
          <w:lang w:val="fr-FR"/>
        </w:rPr>
        <w:t>,</w:t>
      </w:r>
      <w:r w:rsidR="00713D4F" w:rsidRPr="00844541">
        <w:rPr>
          <w:lang w:val="fr-FR"/>
        </w:rPr>
        <w:t xml:space="preserve"> tel qu</w:t>
      </w:r>
      <w:r w:rsidR="00844541">
        <w:rPr>
          <w:lang w:val="fr-FR"/>
        </w:rPr>
        <w:t>’</w:t>
      </w:r>
      <w:r w:rsidR="00713D4F" w:rsidRPr="00844541">
        <w:rPr>
          <w:lang w:val="fr-FR"/>
        </w:rPr>
        <w:t>en vigueur à l</w:t>
      </w:r>
      <w:r w:rsidR="00844541">
        <w:rPr>
          <w:lang w:val="fr-FR"/>
        </w:rPr>
        <w:t>’</w:t>
      </w:r>
      <w:r w:rsidR="00713D4F" w:rsidRPr="00844541">
        <w:rPr>
          <w:lang w:val="fr-FR"/>
        </w:rPr>
        <w:t>époque des faits, à savoir les articles pertinents de la Constitution et du décret n</w:t>
      </w:r>
      <w:r w:rsidR="00713D4F" w:rsidRPr="00844541">
        <w:rPr>
          <w:vertAlign w:val="superscript"/>
          <w:lang w:val="fr-FR"/>
        </w:rPr>
        <w:t>o</w:t>
      </w:r>
      <w:r w:rsidR="00713D4F" w:rsidRPr="00844541">
        <w:rPr>
          <w:lang w:val="fr-FR"/>
        </w:rPr>
        <w:t xml:space="preserve"> 177/1948 </w:t>
      </w:r>
      <w:r w:rsidR="00346FA1" w:rsidRPr="00844541">
        <w:rPr>
          <w:lang w:val="fr-FR"/>
        </w:rPr>
        <w:t>relatif au</w:t>
      </w:r>
      <w:r w:rsidR="00713D4F" w:rsidRPr="00844541">
        <w:rPr>
          <w:lang w:val="fr-FR"/>
        </w:rPr>
        <w:t xml:space="preserve"> régime général des cultes religieux</w:t>
      </w:r>
      <w:r w:rsidR="00AE17FD" w:rsidRPr="00844541">
        <w:rPr>
          <w:lang w:val="fr-FR"/>
        </w:rPr>
        <w:t>,</w:t>
      </w:r>
      <w:r w:rsidR="00713D4F" w:rsidRPr="00844541">
        <w:rPr>
          <w:lang w:val="fr-FR"/>
        </w:rPr>
        <w:t xml:space="preserve"> sont décrits dans l</w:t>
      </w:r>
      <w:r w:rsidR="00844541">
        <w:rPr>
          <w:lang w:val="fr-FR"/>
        </w:rPr>
        <w:t>’</w:t>
      </w:r>
      <w:r w:rsidR="00713D4F" w:rsidRPr="00844541">
        <w:rPr>
          <w:lang w:val="fr-FR"/>
        </w:rPr>
        <w:t xml:space="preserve">affaire </w:t>
      </w:r>
      <w:r w:rsidR="00713D4F" w:rsidRPr="00844541">
        <w:rPr>
          <w:i/>
          <w:lang w:val="fr-FR"/>
        </w:rPr>
        <w:t xml:space="preserve">Paroisse </w:t>
      </w:r>
      <w:r w:rsidR="00AE17FD" w:rsidRPr="00844541">
        <w:rPr>
          <w:i/>
          <w:lang w:val="fr-FR"/>
        </w:rPr>
        <w:t>g</w:t>
      </w:r>
      <w:r w:rsidR="00713D4F" w:rsidRPr="00844541">
        <w:rPr>
          <w:i/>
          <w:lang w:val="fr-FR"/>
        </w:rPr>
        <w:t>r</w:t>
      </w:r>
      <w:r w:rsidR="00AE17FD" w:rsidRPr="00844541">
        <w:rPr>
          <w:i/>
          <w:lang w:val="fr-FR"/>
        </w:rPr>
        <w:t>é</w:t>
      </w:r>
      <w:r w:rsidR="00713D4F" w:rsidRPr="00844541">
        <w:rPr>
          <w:i/>
          <w:lang w:val="fr-FR"/>
        </w:rPr>
        <w:t>co</w:t>
      </w:r>
      <w:r w:rsidR="00AE17FD" w:rsidRPr="00844541">
        <w:rPr>
          <w:i/>
          <w:lang w:val="fr-FR"/>
        </w:rPr>
        <w:t>-c</w:t>
      </w:r>
      <w:r w:rsidR="00713D4F" w:rsidRPr="00844541">
        <w:rPr>
          <w:i/>
          <w:lang w:val="fr-FR"/>
        </w:rPr>
        <w:t>atholique Sâmbata Bihor</w:t>
      </w:r>
      <w:r w:rsidR="00713D4F" w:rsidRPr="00844541">
        <w:rPr>
          <w:bCs/>
          <w:i/>
          <w:lang w:val="fr-FR"/>
        </w:rPr>
        <w:t xml:space="preserve"> c. Roumanie</w:t>
      </w:r>
      <w:r w:rsidR="00713D4F" w:rsidRPr="00844541">
        <w:rPr>
          <w:lang w:val="fr-FR"/>
        </w:rPr>
        <w:t xml:space="preserve"> (</w:t>
      </w:r>
      <w:r w:rsidR="00AE17FD" w:rsidRPr="00844541">
        <w:rPr>
          <w:lang w:val="fr-FR"/>
        </w:rPr>
        <w:t>n</w:t>
      </w:r>
      <w:r w:rsidR="00AE17FD" w:rsidRPr="00844541">
        <w:rPr>
          <w:vertAlign w:val="superscript"/>
          <w:lang w:val="fr-FR"/>
        </w:rPr>
        <w:t>o</w:t>
      </w:r>
      <w:r w:rsidR="00AE17FD" w:rsidRPr="00844541">
        <w:rPr>
          <w:lang w:val="fr-FR"/>
        </w:rPr>
        <w:t> </w:t>
      </w:r>
      <w:r w:rsidR="00713D4F" w:rsidRPr="00844541">
        <w:rPr>
          <w:lang w:val="fr-FR"/>
        </w:rPr>
        <w:t>48107/99</w:t>
      </w:r>
      <w:r w:rsidR="00713D4F" w:rsidRPr="00844541">
        <w:rPr>
          <w:snapToGrid w:val="0"/>
          <w:lang w:val="fr-FR"/>
        </w:rPr>
        <w:t xml:space="preserve">, §§ 35-37, </w:t>
      </w:r>
      <w:r w:rsidR="00713D4F" w:rsidRPr="00844541">
        <w:rPr>
          <w:lang w:val="fr-FR"/>
        </w:rPr>
        <w:t>12</w:t>
      </w:r>
      <w:r w:rsidR="00713D4F" w:rsidRPr="00844541">
        <w:rPr>
          <w:snapToGrid w:val="0"/>
          <w:lang w:val="fr-FR"/>
        </w:rPr>
        <w:t> </w:t>
      </w:r>
      <w:r w:rsidR="00713D4F" w:rsidRPr="00844541">
        <w:rPr>
          <w:lang w:val="fr-FR"/>
        </w:rPr>
        <w:t>janvier</w:t>
      </w:r>
      <w:r w:rsidR="00713D4F" w:rsidRPr="00844541">
        <w:rPr>
          <w:snapToGrid w:val="0"/>
          <w:lang w:val="fr-FR"/>
        </w:rPr>
        <w:t xml:space="preserve"> 2010).</w:t>
      </w:r>
    </w:p>
    <w:bookmarkStart w:id="12" w:name="P36"/>
    <w:p w:rsidR="004972F6" w:rsidRPr="00844541" w:rsidRDefault="004972F6"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38</w:t>
      </w:r>
      <w:r w:rsidRPr="00844541">
        <w:fldChar w:fldCharType="end"/>
      </w:r>
      <w:bookmarkEnd w:id="12"/>
      <w:r w:rsidRPr="00844541">
        <w:rPr>
          <w:lang w:val="fr-FR"/>
        </w:rPr>
        <w:t>.  Le décret-loi n</w:t>
      </w:r>
      <w:r w:rsidRPr="00844541">
        <w:rPr>
          <w:vertAlign w:val="superscript"/>
          <w:lang w:val="fr-FR"/>
        </w:rPr>
        <w:t>o</w:t>
      </w:r>
      <w:r w:rsidRPr="00844541">
        <w:rPr>
          <w:lang w:val="fr-FR"/>
        </w:rPr>
        <w:t xml:space="preserve"> 126/1990 </w:t>
      </w:r>
      <w:r w:rsidR="00D6649E" w:rsidRPr="00844541">
        <w:rPr>
          <w:lang w:val="fr-FR"/>
        </w:rPr>
        <w:t xml:space="preserve">relatif à </w:t>
      </w:r>
      <w:r w:rsidRPr="00844541">
        <w:rPr>
          <w:lang w:val="fr-FR"/>
        </w:rPr>
        <w:t xml:space="preserve">certaines mesures </w:t>
      </w:r>
      <w:r w:rsidR="00D6649E" w:rsidRPr="00844541">
        <w:rPr>
          <w:lang w:val="fr-FR"/>
        </w:rPr>
        <w:t>concernant</w:t>
      </w:r>
      <w:r w:rsidRPr="00844541">
        <w:rPr>
          <w:lang w:val="fr-FR"/>
        </w:rPr>
        <w:t xml:space="preserve"> l</w:t>
      </w:r>
      <w:r w:rsidR="00844541">
        <w:rPr>
          <w:lang w:val="fr-FR"/>
        </w:rPr>
        <w:t>’</w:t>
      </w:r>
      <w:r w:rsidRPr="00844541">
        <w:rPr>
          <w:lang w:val="fr-FR"/>
        </w:rPr>
        <w:t>Église roumaine unie à Rome (</w:t>
      </w:r>
      <w:r w:rsidR="00D6649E" w:rsidRPr="00844541">
        <w:rPr>
          <w:lang w:val="fr-FR"/>
        </w:rPr>
        <w:t xml:space="preserve">Église </w:t>
      </w:r>
      <w:r w:rsidRPr="00844541">
        <w:rPr>
          <w:lang w:val="fr-FR"/>
        </w:rPr>
        <w:t>gréco-catholique) a été publié au Journal officiel n</w:t>
      </w:r>
      <w:r w:rsidRPr="00844541">
        <w:rPr>
          <w:vertAlign w:val="superscript"/>
          <w:lang w:val="fr-FR"/>
        </w:rPr>
        <w:t>o</w:t>
      </w:r>
      <w:r w:rsidRPr="00844541">
        <w:rPr>
          <w:lang w:val="fr-FR"/>
        </w:rPr>
        <w:t> 54 du 25 avril 1990. Il est ainsi libellé dans ses parties pertinentes</w:t>
      </w:r>
      <w:r w:rsidR="00AE17FD" w:rsidRPr="00844541">
        <w:rPr>
          <w:lang w:val="fr-FR"/>
        </w:rPr>
        <w:t xml:space="preserve"> en l</w:t>
      </w:r>
      <w:r w:rsidR="00844541">
        <w:rPr>
          <w:lang w:val="fr-FR"/>
        </w:rPr>
        <w:t>’</w:t>
      </w:r>
      <w:r w:rsidR="00AE17FD" w:rsidRPr="00844541">
        <w:rPr>
          <w:lang w:val="fr-FR"/>
        </w:rPr>
        <w:t>espèce</w:t>
      </w:r>
      <w:r w:rsidRPr="00844541">
        <w:rPr>
          <w:lang w:val="fr-FR"/>
        </w:rPr>
        <w:t> :</w:t>
      </w:r>
    </w:p>
    <w:p w:rsidR="004972F6" w:rsidRPr="00844541" w:rsidRDefault="004972F6" w:rsidP="00844541">
      <w:pPr>
        <w:pStyle w:val="ECHRTitleCentre3"/>
      </w:pPr>
      <w:r w:rsidRPr="00844541">
        <w:t>Article 1</w:t>
      </w:r>
    </w:p>
    <w:p w:rsidR="004972F6" w:rsidRPr="00844541" w:rsidRDefault="004972F6" w:rsidP="00844541">
      <w:pPr>
        <w:pStyle w:val="ECHRParaQuote"/>
        <w:keepNext/>
        <w:keepLines/>
      </w:pPr>
      <w:r w:rsidRPr="00844541">
        <w:t>« </w:t>
      </w:r>
      <w:r w:rsidR="00AE17FD" w:rsidRPr="00844541">
        <w:rPr>
          <w:rFonts w:cstheme="minorHAnsi"/>
        </w:rPr>
        <w:t>À</w:t>
      </w:r>
      <w:r w:rsidRPr="00844541">
        <w:t xml:space="preserve"> la suite de l</w:t>
      </w:r>
      <w:r w:rsidR="00844541">
        <w:t>’</w:t>
      </w:r>
      <w:r w:rsidRPr="00844541">
        <w:t>abrogation du décret n</w:t>
      </w:r>
      <w:r w:rsidRPr="00844541">
        <w:rPr>
          <w:vertAlign w:val="superscript"/>
        </w:rPr>
        <w:t>o</w:t>
      </w:r>
      <w:r w:rsidRPr="00844541">
        <w:t> 358/1948 par le décret-loi n</w:t>
      </w:r>
      <w:r w:rsidRPr="00844541">
        <w:rPr>
          <w:vertAlign w:val="superscript"/>
        </w:rPr>
        <w:t>o</w:t>
      </w:r>
      <w:r w:rsidRPr="00844541">
        <w:t> 9 du 31 décembre 1989, l</w:t>
      </w:r>
      <w:r w:rsidR="00844541">
        <w:t>’</w:t>
      </w:r>
      <w:r w:rsidRPr="00844541">
        <w:t>Église roumaine unie à Rome est reconnue officiellement (...) »</w:t>
      </w:r>
    </w:p>
    <w:p w:rsidR="004972F6" w:rsidRPr="00844541" w:rsidRDefault="004972F6" w:rsidP="00844541">
      <w:pPr>
        <w:pStyle w:val="ECHRTitleCentre3"/>
      </w:pPr>
      <w:r w:rsidRPr="00844541">
        <w:t>Article 3</w:t>
      </w:r>
    </w:p>
    <w:p w:rsidR="004972F6" w:rsidRPr="00844541" w:rsidRDefault="004972F6" w:rsidP="00844541">
      <w:pPr>
        <w:pStyle w:val="ECHRParaQuote"/>
        <w:rPr>
          <w:rFonts w:cstheme="minorHAnsi"/>
        </w:rPr>
      </w:pPr>
      <w:r w:rsidRPr="00844541">
        <w:t>« La situation juridique des édifices religieux et des maisons paroissiales qui ont appartenu à l</w:t>
      </w:r>
      <w:r w:rsidR="00844541">
        <w:t>’</w:t>
      </w:r>
      <w:r w:rsidRPr="00844541">
        <w:t>Église uniate et que l</w:t>
      </w:r>
      <w:r w:rsidR="00844541">
        <w:t>’</w:t>
      </w:r>
      <w:r w:rsidRPr="00844541">
        <w:t>Église orthodoxe roumaine s</w:t>
      </w:r>
      <w:r w:rsidR="00844541">
        <w:t>’</w:t>
      </w:r>
      <w:r w:rsidRPr="00844541">
        <w:t xml:space="preserve">est appropriés sera </w:t>
      </w:r>
      <w:r w:rsidR="00A8101C" w:rsidRPr="00844541">
        <w:t xml:space="preserve">fixée </w:t>
      </w:r>
      <w:r w:rsidRPr="00844541">
        <w:t xml:space="preserve">par une commission mixte, formée des représentants du clergé de chacun des deux cultes religieux, qui prendra en compte la volonté des </w:t>
      </w:r>
      <w:r w:rsidR="00B159BC" w:rsidRPr="00844541">
        <w:t>fidèles</w:t>
      </w:r>
      <w:r w:rsidRPr="00844541">
        <w:t xml:space="preserve"> des </w:t>
      </w:r>
      <w:r w:rsidRPr="00844541">
        <w:rPr>
          <w:rFonts w:cstheme="minorHAnsi"/>
        </w:rPr>
        <w:t>communautés déten</w:t>
      </w:r>
      <w:r w:rsidR="00B159BC" w:rsidRPr="00844541">
        <w:rPr>
          <w:rFonts w:cstheme="minorHAnsi"/>
        </w:rPr>
        <w:t>trices de</w:t>
      </w:r>
      <w:r w:rsidRPr="00844541">
        <w:rPr>
          <w:rFonts w:cstheme="minorHAnsi"/>
        </w:rPr>
        <w:t xml:space="preserve"> ces biens</w:t>
      </w:r>
      <w:r w:rsidR="00F07B77" w:rsidRPr="00844541">
        <w:rPr>
          <w:rFonts w:cstheme="minorHAnsi"/>
        </w:rPr>
        <w:t xml:space="preserve"> (</w:t>
      </w:r>
      <w:r w:rsidR="00F07B77" w:rsidRPr="00844541">
        <w:rPr>
          <w:rFonts w:cstheme="minorHAnsi"/>
          <w:i/>
          <w:szCs w:val="20"/>
        </w:rPr>
        <w:t>dorinţa credincioşilor din comunităţile care deţin aceste bunuri</w:t>
      </w:r>
      <w:r w:rsidR="00F07B77" w:rsidRPr="00844541">
        <w:rPr>
          <w:rFonts w:cstheme="minorHAnsi"/>
        </w:rPr>
        <w:t>)</w:t>
      </w:r>
      <w:r w:rsidRPr="00844541">
        <w:rPr>
          <w:rFonts w:cstheme="minorHAnsi"/>
        </w:rPr>
        <w:t>. »</w:t>
      </w:r>
    </w:p>
    <w:p w:rsidR="00065352" w:rsidRPr="00844541" w:rsidRDefault="00065352" w:rsidP="00844541">
      <w:pPr>
        <w:pStyle w:val="ECHRTitleCentre3"/>
      </w:pPr>
      <w:r w:rsidRPr="00844541">
        <w:lastRenderedPageBreak/>
        <w:t>Article 4</w:t>
      </w:r>
    </w:p>
    <w:p w:rsidR="00065352" w:rsidRPr="00844541" w:rsidRDefault="00065352" w:rsidP="00844541">
      <w:pPr>
        <w:pStyle w:val="ECHRParaQuote"/>
        <w:keepNext/>
        <w:keepLines/>
        <w:rPr>
          <w:lang w:bidi="en-US"/>
        </w:rPr>
      </w:pPr>
      <w:r w:rsidRPr="00844541">
        <w:t>« Dans les communes o</w:t>
      </w:r>
      <w:r w:rsidR="00EA3197" w:rsidRPr="00844541">
        <w:t>ù</w:t>
      </w:r>
      <w:r w:rsidRPr="00844541">
        <w:t xml:space="preserve"> le nombre de lieux de culte est insuffisant par rapport au nombre des </w:t>
      </w:r>
      <w:r w:rsidR="00A8101C" w:rsidRPr="00844541">
        <w:t>fidèles</w:t>
      </w:r>
      <w:r w:rsidRPr="00844541">
        <w:t>, l</w:t>
      </w:r>
      <w:r w:rsidR="00844541">
        <w:t>’</w:t>
      </w:r>
      <w:r w:rsidRPr="00844541">
        <w:t>État apporter</w:t>
      </w:r>
      <w:r w:rsidR="00EA3197" w:rsidRPr="00844541">
        <w:t>a</w:t>
      </w:r>
      <w:r w:rsidRPr="00844541">
        <w:t xml:space="preserve"> son soutien </w:t>
      </w:r>
      <w:r w:rsidR="00A8101C" w:rsidRPr="00844541">
        <w:t xml:space="preserve">à </w:t>
      </w:r>
      <w:r w:rsidRPr="00844541">
        <w:t>la construction de nouvelles église</w:t>
      </w:r>
      <w:r w:rsidR="0056262E" w:rsidRPr="00844541">
        <w:t>s</w:t>
      </w:r>
      <w:r w:rsidRPr="00844541">
        <w:t xml:space="preserve"> ; à cette fin, il mettra à la disposition de ces cultes le terrain </w:t>
      </w:r>
      <w:r w:rsidR="00346FA1" w:rsidRPr="00844541">
        <w:t>requis</w:t>
      </w:r>
      <w:r w:rsidRPr="00844541">
        <w:t xml:space="preserve"> si le culte n</w:t>
      </w:r>
      <w:r w:rsidR="00844541">
        <w:t>’</w:t>
      </w:r>
      <w:r w:rsidRPr="00844541">
        <w:t>en dispose pas et</w:t>
      </w:r>
      <w:r w:rsidR="00A8101C" w:rsidRPr="00844541">
        <w:t xml:space="preserve"> il</w:t>
      </w:r>
      <w:r w:rsidRPr="00844541">
        <w:t xml:space="preserve"> contribuera à la collecte des fonds nécessaires</w:t>
      </w:r>
      <w:r w:rsidR="00A8101C" w:rsidRPr="00844541">
        <w:t>.</w:t>
      </w:r>
      <w:r w:rsidRPr="00844541">
        <w:t> »</w:t>
      </w:r>
    </w:p>
    <w:p w:rsidR="004972F6" w:rsidRPr="00844541" w:rsidRDefault="00AA632A"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39</w:t>
      </w:r>
      <w:r w:rsidRPr="00844541">
        <w:rPr>
          <w:noProof/>
        </w:rPr>
        <w:fldChar w:fldCharType="end"/>
      </w:r>
      <w:r w:rsidR="004972F6" w:rsidRPr="00844541">
        <w:rPr>
          <w:lang w:val="fr-FR"/>
        </w:rPr>
        <w:t>.  L</w:t>
      </w:r>
      <w:r w:rsidR="00844541">
        <w:rPr>
          <w:lang w:val="fr-FR"/>
        </w:rPr>
        <w:t>’</w:t>
      </w:r>
      <w:r w:rsidR="004972F6" w:rsidRPr="00844541">
        <w:rPr>
          <w:lang w:val="fr-FR"/>
        </w:rPr>
        <w:t>article 3 du décret-loi susmentionné a été complété par l</w:t>
      </w:r>
      <w:r w:rsidR="00844541">
        <w:rPr>
          <w:lang w:val="fr-FR"/>
        </w:rPr>
        <w:t>’</w:t>
      </w:r>
      <w:r w:rsidR="004972F6" w:rsidRPr="00844541">
        <w:rPr>
          <w:lang w:val="fr-FR"/>
        </w:rPr>
        <w:t xml:space="preserve">ordonnance du </w:t>
      </w:r>
      <w:r w:rsidR="00834AB7" w:rsidRPr="00844541">
        <w:rPr>
          <w:lang w:val="fr-FR"/>
        </w:rPr>
        <w:t>g</w:t>
      </w:r>
      <w:r w:rsidR="004972F6" w:rsidRPr="00844541">
        <w:rPr>
          <w:lang w:val="fr-FR"/>
        </w:rPr>
        <w:t>ouvernement n</w:t>
      </w:r>
      <w:r w:rsidR="004972F6" w:rsidRPr="00844541">
        <w:rPr>
          <w:vertAlign w:val="superscript"/>
          <w:lang w:val="fr-FR"/>
        </w:rPr>
        <w:t>o</w:t>
      </w:r>
      <w:r w:rsidR="004972F6" w:rsidRPr="00844541">
        <w:rPr>
          <w:lang w:val="fr-FR"/>
        </w:rPr>
        <w:t> 64/2004 du 13 août 2004 (« l</w:t>
      </w:r>
      <w:r w:rsidR="00844541">
        <w:rPr>
          <w:lang w:val="fr-FR"/>
        </w:rPr>
        <w:t>’</w:t>
      </w:r>
      <w:r w:rsidR="004972F6" w:rsidRPr="00844541">
        <w:rPr>
          <w:lang w:val="fr-FR"/>
        </w:rPr>
        <w:t>ordonnance n</w:t>
      </w:r>
      <w:r w:rsidR="004972F6" w:rsidRPr="00844541">
        <w:rPr>
          <w:vertAlign w:val="superscript"/>
          <w:lang w:val="fr-FR"/>
        </w:rPr>
        <w:t>o</w:t>
      </w:r>
      <w:r w:rsidR="004972F6" w:rsidRPr="00844541">
        <w:rPr>
          <w:lang w:val="fr-FR"/>
        </w:rPr>
        <w:t> 64/2004 »),</w:t>
      </w:r>
      <w:r w:rsidR="00BD6A92" w:rsidRPr="00844541">
        <w:rPr>
          <w:lang w:val="fr-FR"/>
        </w:rPr>
        <w:t xml:space="preserve"> </w:t>
      </w:r>
      <w:r w:rsidR="00346FA1" w:rsidRPr="00844541">
        <w:rPr>
          <w:lang w:val="fr-FR"/>
        </w:rPr>
        <w:t xml:space="preserve">entré </w:t>
      </w:r>
      <w:r w:rsidR="00BD6A92" w:rsidRPr="00844541">
        <w:rPr>
          <w:lang w:val="fr-FR"/>
        </w:rPr>
        <w:t>en vigueur le 21 août 2004,</w:t>
      </w:r>
      <w:r w:rsidR="004972F6" w:rsidRPr="00844541">
        <w:rPr>
          <w:lang w:val="fr-FR"/>
        </w:rPr>
        <w:t xml:space="preserve"> qui a ajouté </w:t>
      </w:r>
      <w:r w:rsidR="00834AB7" w:rsidRPr="00844541">
        <w:rPr>
          <w:lang w:val="fr-FR"/>
        </w:rPr>
        <w:t xml:space="preserve">à cette disposition </w:t>
      </w:r>
      <w:r w:rsidR="004972F6" w:rsidRPr="00844541">
        <w:rPr>
          <w:lang w:val="fr-FR"/>
        </w:rPr>
        <w:t>un deuxième paragraphe, ainsi libellé :</w:t>
      </w:r>
    </w:p>
    <w:p w:rsidR="004972F6" w:rsidRPr="00844541" w:rsidRDefault="004972F6" w:rsidP="00844541">
      <w:pPr>
        <w:pStyle w:val="ECHRParaQuote"/>
      </w:pPr>
      <w:r w:rsidRPr="00844541">
        <w:t>« Au cas où les représentants cléricaux des deux cultes religieux ne trouvent pas un accord au sein de la commission mixte prévue à l</w:t>
      </w:r>
      <w:r w:rsidR="00844541">
        <w:t>’</w:t>
      </w:r>
      <w:r w:rsidRPr="00844541">
        <w:t>article 1</w:t>
      </w:r>
      <w:r w:rsidRPr="00844541">
        <w:rPr>
          <w:vertAlign w:val="superscript"/>
        </w:rPr>
        <w:t>er</w:t>
      </w:r>
      <w:r w:rsidRPr="00844541">
        <w:t xml:space="preserve">, la partie </w:t>
      </w:r>
      <w:r w:rsidR="00462EC0" w:rsidRPr="00844541">
        <w:t xml:space="preserve">ayant un intérêt à agir </w:t>
      </w:r>
      <w:r w:rsidRPr="00844541">
        <w:t xml:space="preserve">peut introduire une action en justice </w:t>
      </w:r>
      <w:r w:rsidR="00462EC0" w:rsidRPr="00844541">
        <w:t>fondée sur le</w:t>
      </w:r>
      <w:r w:rsidRPr="00844541">
        <w:t xml:space="preserve"> droit commun. »</w:t>
      </w:r>
    </w:p>
    <w:bookmarkStart w:id="13" w:name="P38"/>
    <w:p w:rsidR="004972F6" w:rsidRPr="00844541" w:rsidRDefault="004972F6"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40</w:t>
      </w:r>
      <w:r w:rsidRPr="00844541">
        <w:fldChar w:fldCharType="end"/>
      </w:r>
      <w:bookmarkEnd w:id="13"/>
      <w:r w:rsidRPr="00844541">
        <w:rPr>
          <w:lang w:val="fr-FR"/>
        </w:rPr>
        <w:t>.  La loi n</w:t>
      </w:r>
      <w:r w:rsidRPr="00844541">
        <w:rPr>
          <w:vertAlign w:val="superscript"/>
          <w:lang w:val="fr-FR"/>
        </w:rPr>
        <w:t>o</w:t>
      </w:r>
      <w:r w:rsidRPr="00844541">
        <w:rPr>
          <w:lang w:val="fr-FR"/>
        </w:rPr>
        <w:t> 182/2005 du 13 juin 2005 (« la loi n</w:t>
      </w:r>
      <w:r w:rsidRPr="00844541">
        <w:rPr>
          <w:rFonts w:ascii="Times New (W1)" w:hAnsi="Times New (W1)"/>
          <w:vertAlign w:val="superscript"/>
          <w:lang w:val="fr-FR"/>
        </w:rPr>
        <w:t>o</w:t>
      </w:r>
      <w:r w:rsidRPr="00844541">
        <w:rPr>
          <w:lang w:val="fr-FR"/>
        </w:rPr>
        <w:t xml:space="preserve"> 182/2005 »), entrée en vigueur le 17 juin 2005, a modifié le deuxième alinéa de l</w:t>
      </w:r>
      <w:r w:rsidR="00844541">
        <w:rPr>
          <w:lang w:val="fr-FR"/>
        </w:rPr>
        <w:t>’</w:t>
      </w:r>
      <w:r w:rsidRPr="00844541">
        <w:rPr>
          <w:lang w:val="fr-FR"/>
        </w:rPr>
        <w:t xml:space="preserve">article 3 </w:t>
      </w:r>
      <w:r w:rsidR="0056262E" w:rsidRPr="00844541">
        <w:rPr>
          <w:lang w:val="fr-FR"/>
        </w:rPr>
        <w:t>introduit par l</w:t>
      </w:r>
      <w:r w:rsidR="00844541">
        <w:rPr>
          <w:lang w:val="fr-FR"/>
        </w:rPr>
        <w:t>’</w:t>
      </w:r>
      <w:r w:rsidR="0056262E" w:rsidRPr="00844541">
        <w:rPr>
          <w:lang w:val="fr-FR"/>
        </w:rPr>
        <w:t>ordonnance n</w:t>
      </w:r>
      <w:r w:rsidR="0056262E" w:rsidRPr="00844541">
        <w:rPr>
          <w:vertAlign w:val="superscript"/>
          <w:lang w:val="fr-FR"/>
        </w:rPr>
        <w:t>o</w:t>
      </w:r>
      <w:r w:rsidR="0056262E" w:rsidRPr="00844541">
        <w:rPr>
          <w:lang w:val="fr-FR"/>
        </w:rPr>
        <w:t xml:space="preserve"> 64/2004 </w:t>
      </w:r>
      <w:r w:rsidRPr="00844541">
        <w:rPr>
          <w:lang w:val="fr-FR"/>
        </w:rPr>
        <w:t>et en a ajouté deux autres, ainsi rédigés :</w:t>
      </w:r>
    </w:p>
    <w:p w:rsidR="004972F6" w:rsidRPr="00844541" w:rsidRDefault="004972F6" w:rsidP="00844541">
      <w:pPr>
        <w:pStyle w:val="ECHRParaQuote"/>
      </w:pPr>
      <w:r w:rsidRPr="00844541">
        <w:t xml:space="preserve">« La partie </w:t>
      </w:r>
      <w:r w:rsidR="00F04B00" w:rsidRPr="00844541">
        <w:t xml:space="preserve">ayant un intérêt à agir </w:t>
      </w:r>
      <w:r w:rsidRPr="00844541">
        <w:t>convoquera l</w:t>
      </w:r>
      <w:r w:rsidR="00844541">
        <w:t>’</w:t>
      </w:r>
      <w:r w:rsidRPr="00844541">
        <w:t xml:space="preserve">autre partie, en lui communiquant par écrit ses prétentions et en lui fournissant les preuves sur lesquelles elle fonde ses prétentions. La convocation sera faite par lettre recommandée avec accusé de réception ou par la remise des lettres en mains propres. La date de la convocation de la commission mixte </w:t>
      </w:r>
      <w:r w:rsidR="0043533C" w:rsidRPr="00844541">
        <w:t xml:space="preserve">ne </w:t>
      </w:r>
      <w:r w:rsidRPr="00844541">
        <w:t xml:space="preserve">sera fixée </w:t>
      </w:r>
      <w:r w:rsidR="0043533C" w:rsidRPr="00844541">
        <w:t xml:space="preserve">que </w:t>
      </w:r>
      <w:r w:rsidRPr="00844541">
        <w:t xml:space="preserve">trente jours </w:t>
      </w:r>
      <w:r w:rsidR="0043533C" w:rsidRPr="00844541">
        <w:t>après</w:t>
      </w:r>
      <w:r w:rsidRPr="00844541">
        <w:t xml:space="preserve"> la date de réception des documents. La commission sera constituée de trois représentants de chaque culte. Si</w:t>
      </w:r>
      <w:r w:rsidR="009D2DD6" w:rsidRPr="00844541">
        <w:t xml:space="preserve"> la commission ne se réunit pas</w:t>
      </w:r>
      <w:r w:rsidRPr="00844541">
        <w:t xml:space="preserve"> </w:t>
      </w:r>
      <w:r w:rsidR="00A90FE5" w:rsidRPr="00844541">
        <w:t>au terme du délai établi pour sa</w:t>
      </w:r>
      <w:r w:rsidRPr="00844541">
        <w:t xml:space="preserve"> convocation ou si elle </w:t>
      </w:r>
      <w:r w:rsidR="00A90FE5" w:rsidRPr="00844541">
        <w:t>ne parvient pas à un</w:t>
      </w:r>
      <w:r w:rsidRPr="00844541">
        <w:t xml:space="preserve"> résultat ou si la décision </w:t>
      </w:r>
      <w:r w:rsidR="00A90FE5" w:rsidRPr="00844541">
        <w:t xml:space="preserve">prise par la commission </w:t>
      </w:r>
      <w:r w:rsidRPr="00844541">
        <w:t>mécontente l</w:t>
      </w:r>
      <w:r w:rsidR="00844541">
        <w:t>’</w:t>
      </w:r>
      <w:r w:rsidRPr="00844541">
        <w:t xml:space="preserve">une des parties, la partie </w:t>
      </w:r>
      <w:r w:rsidR="00547ED6" w:rsidRPr="00844541">
        <w:t>ayant un intérêt à agir</w:t>
      </w:r>
      <w:r w:rsidR="00A90FE5" w:rsidRPr="00844541">
        <w:t xml:space="preserve"> </w:t>
      </w:r>
      <w:r w:rsidRPr="00844541">
        <w:t>peut introduire une action en justice fondée sur le droit commun.</w:t>
      </w:r>
    </w:p>
    <w:p w:rsidR="004972F6" w:rsidRPr="00844541" w:rsidRDefault="004972F6" w:rsidP="00844541">
      <w:pPr>
        <w:pStyle w:val="ECHRParaQuote"/>
      </w:pPr>
      <w:r w:rsidRPr="00844541">
        <w:t>L</w:t>
      </w:r>
      <w:r w:rsidR="00844541">
        <w:t>’</w:t>
      </w:r>
      <w:r w:rsidRPr="00844541">
        <w:t>action sera examinée par les tribunaux.</w:t>
      </w:r>
    </w:p>
    <w:p w:rsidR="004972F6" w:rsidRPr="00844541" w:rsidRDefault="004972F6" w:rsidP="00844541">
      <w:pPr>
        <w:pStyle w:val="ECHRParaQuote"/>
      </w:pPr>
      <w:r w:rsidRPr="00844541">
        <w:t>L</w:t>
      </w:r>
      <w:r w:rsidR="00844541">
        <w:t>’</w:t>
      </w:r>
      <w:r w:rsidRPr="00844541">
        <w:t>action sera exemptée de la taxe judiciaire. »</w:t>
      </w:r>
    </w:p>
    <w:p w:rsidR="00A9707E"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41</w:t>
      </w:r>
      <w:r w:rsidRPr="00844541">
        <w:rPr>
          <w:noProof/>
        </w:rPr>
        <w:fldChar w:fldCharType="end"/>
      </w:r>
      <w:r w:rsidR="00A9707E" w:rsidRPr="00844541">
        <w:rPr>
          <w:lang w:val="fr-FR"/>
        </w:rPr>
        <w:t>.  </w:t>
      </w:r>
      <w:r w:rsidR="00213D19" w:rsidRPr="00844541">
        <w:rPr>
          <w:lang w:val="fr-FR"/>
        </w:rPr>
        <w:t>L</w:t>
      </w:r>
      <w:r w:rsidR="00844541">
        <w:rPr>
          <w:lang w:val="fr-FR"/>
        </w:rPr>
        <w:t>’</w:t>
      </w:r>
      <w:r w:rsidR="00213D19" w:rsidRPr="00844541">
        <w:rPr>
          <w:lang w:val="fr-FR"/>
        </w:rPr>
        <w:t>ordonnance d</w:t>
      </w:r>
      <w:r w:rsidR="00844541">
        <w:rPr>
          <w:lang w:val="fr-FR"/>
        </w:rPr>
        <w:t>’</w:t>
      </w:r>
      <w:r w:rsidR="00213D19" w:rsidRPr="00844541">
        <w:rPr>
          <w:lang w:val="fr-FR"/>
        </w:rPr>
        <w:t xml:space="preserve">urgence du </w:t>
      </w:r>
      <w:r w:rsidR="00B0019B" w:rsidRPr="00844541">
        <w:rPr>
          <w:lang w:val="fr-FR"/>
        </w:rPr>
        <w:t>g</w:t>
      </w:r>
      <w:r w:rsidR="00213D19" w:rsidRPr="00844541">
        <w:rPr>
          <w:lang w:val="fr-FR"/>
        </w:rPr>
        <w:t>ouvernement n</w:t>
      </w:r>
      <w:r w:rsidR="00213D19" w:rsidRPr="00844541">
        <w:rPr>
          <w:vertAlign w:val="superscript"/>
          <w:lang w:val="fr-FR"/>
        </w:rPr>
        <w:t>o</w:t>
      </w:r>
      <w:r w:rsidR="00213D19" w:rsidRPr="00844541">
        <w:rPr>
          <w:lang w:val="fr-FR"/>
        </w:rPr>
        <w:t xml:space="preserve"> 94/2000 </w:t>
      </w:r>
      <w:r w:rsidR="00B0019B" w:rsidRPr="00844541">
        <w:rPr>
          <w:lang w:val="fr-FR"/>
        </w:rPr>
        <w:t>relative à</w:t>
      </w:r>
      <w:r w:rsidR="00213D19" w:rsidRPr="00844541">
        <w:rPr>
          <w:lang w:val="fr-FR"/>
        </w:rPr>
        <w:t xml:space="preserve"> </w:t>
      </w:r>
      <w:r w:rsidR="00A9707E" w:rsidRPr="00844541">
        <w:rPr>
          <w:lang w:val="fr-FR"/>
        </w:rPr>
        <w:t>la restitution des immeubles ayant appartenu aux cultes religieux de Roumanie</w:t>
      </w:r>
      <w:r w:rsidR="00AE17FD" w:rsidRPr="00844541">
        <w:rPr>
          <w:lang w:val="fr-FR"/>
        </w:rPr>
        <w:t>,</w:t>
      </w:r>
      <w:r w:rsidR="00A9707E" w:rsidRPr="00844541">
        <w:rPr>
          <w:lang w:val="fr-FR"/>
        </w:rPr>
        <w:t xml:space="preserve"> telle que modifiée le 25 juillet 2005 et publié</w:t>
      </w:r>
      <w:r w:rsidR="00B0019B" w:rsidRPr="00844541">
        <w:rPr>
          <w:lang w:val="fr-FR"/>
        </w:rPr>
        <w:t>e</w:t>
      </w:r>
      <w:r w:rsidR="00A9707E" w:rsidRPr="00844541">
        <w:rPr>
          <w:lang w:val="fr-FR"/>
        </w:rPr>
        <w:t xml:space="preserve"> au Journal officiel </w:t>
      </w:r>
      <w:r w:rsidR="00B0019B" w:rsidRPr="00844541">
        <w:rPr>
          <w:lang w:val="fr-FR"/>
        </w:rPr>
        <w:t>le</w:t>
      </w:r>
      <w:r w:rsidR="00A9707E" w:rsidRPr="00844541">
        <w:rPr>
          <w:lang w:val="fr-FR"/>
        </w:rPr>
        <w:t xml:space="preserve"> 1</w:t>
      </w:r>
      <w:r w:rsidR="00A9707E" w:rsidRPr="00844541">
        <w:rPr>
          <w:vertAlign w:val="superscript"/>
          <w:lang w:val="fr-FR"/>
        </w:rPr>
        <w:t>er</w:t>
      </w:r>
      <w:r w:rsidR="0080130D" w:rsidRPr="00844541">
        <w:rPr>
          <w:lang w:val="fr-FR"/>
        </w:rPr>
        <w:t> </w:t>
      </w:r>
      <w:r w:rsidR="00A9707E" w:rsidRPr="00844541">
        <w:rPr>
          <w:lang w:val="fr-FR"/>
        </w:rPr>
        <w:t>septembre 2005</w:t>
      </w:r>
      <w:r w:rsidR="00AE17FD" w:rsidRPr="00844541">
        <w:rPr>
          <w:lang w:val="fr-FR"/>
        </w:rPr>
        <w:t>,</w:t>
      </w:r>
      <w:r w:rsidR="00A9707E" w:rsidRPr="00844541">
        <w:rPr>
          <w:lang w:val="fr-FR"/>
        </w:rPr>
        <w:t xml:space="preserve"> </w:t>
      </w:r>
      <w:r w:rsidR="00AE17FD" w:rsidRPr="00844541">
        <w:rPr>
          <w:lang w:val="fr-FR"/>
        </w:rPr>
        <w:t>énonce ce qui suit</w:t>
      </w:r>
      <w:r w:rsidR="00A9707E" w:rsidRPr="00844541">
        <w:rPr>
          <w:lang w:val="fr-FR"/>
        </w:rPr>
        <w:t> :</w:t>
      </w:r>
    </w:p>
    <w:p w:rsidR="00A9707E" w:rsidRPr="00844541" w:rsidRDefault="00A9707E" w:rsidP="00844541">
      <w:pPr>
        <w:pStyle w:val="ECHRTitleCentre3"/>
      </w:pPr>
      <w:r w:rsidRPr="00844541">
        <w:t>Article 1</w:t>
      </w:r>
    </w:p>
    <w:p w:rsidR="00A9707E" w:rsidRPr="00844541" w:rsidRDefault="006D022A" w:rsidP="00844541">
      <w:pPr>
        <w:pStyle w:val="ECHRParaQuote"/>
        <w:rPr>
          <w:lang w:bidi="en-US"/>
        </w:rPr>
      </w:pPr>
      <w:r w:rsidRPr="00844541">
        <w:rPr>
          <w:lang w:bidi="en-US"/>
        </w:rPr>
        <w:t>« </w:t>
      </w:r>
      <w:r w:rsidR="00A9707E" w:rsidRPr="00844541">
        <w:rPr>
          <w:lang w:bidi="en-US"/>
        </w:rPr>
        <w:t>(2)</w:t>
      </w:r>
      <w:r w:rsidR="00B0019B" w:rsidRPr="00844541">
        <w:rPr>
          <w:lang w:bidi="en-US"/>
        </w:rPr>
        <w:t>  </w:t>
      </w:r>
      <w:r w:rsidR="00A9707E" w:rsidRPr="00844541">
        <w:rPr>
          <w:lang w:bidi="en-US"/>
        </w:rPr>
        <w:t>Le régime juridique des immeubles qui constituaient des lieux de culte sera réglementé par une loi spéciale. »</w:t>
      </w:r>
    </w:p>
    <w:p w:rsidR="00B43D08" w:rsidRPr="00844541" w:rsidRDefault="000216C8" w:rsidP="00844541">
      <w:pPr>
        <w:pStyle w:val="ECHRPara"/>
        <w:rPr>
          <w:lang w:val="fr-FR" w:bidi="en-US"/>
        </w:rPr>
      </w:pPr>
      <w:r w:rsidRPr="00844541">
        <w:rPr>
          <w:lang w:bidi="en-US"/>
        </w:rPr>
        <w:fldChar w:fldCharType="begin"/>
      </w:r>
      <w:r w:rsidRPr="00844541">
        <w:rPr>
          <w:lang w:val="fr-FR" w:bidi="en-US"/>
        </w:rPr>
        <w:instrText xml:space="preserve"> SEQ level0 \*arabic </w:instrText>
      </w:r>
      <w:r w:rsidRPr="00844541">
        <w:rPr>
          <w:lang w:bidi="en-US"/>
        </w:rPr>
        <w:fldChar w:fldCharType="separate"/>
      </w:r>
      <w:r w:rsidR="00767866">
        <w:rPr>
          <w:noProof/>
          <w:lang w:val="fr-FR" w:bidi="en-US"/>
        </w:rPr>
        <w:t>42</w:t>
      </w:r>
      <w:r w:rsidRPr="00844541">
        <w:rPr>
          <w:lang w:bidi="en-US"/>
        </w:rPr>
        <w:fldChar w:fldCharType="end"/>
      </w:r>
      <w:r w:rsidRPr="00844541">
        <w:rPr>
          <w:lang w:val="fr-FR" w:bidi="en-US"/>
        </w:rPr>
        <w:t>.  </w:t>
      </w:r>
      <w:r w:rsidR="002D40BB" w:rsidRPr="00844541">
        <w:rPr>
          <w:lang w:val="fr-FR" w:bidi="en-US"/>
        </w:rPr>
        <w:t>La loi n</w:t>
      </w:r>
      <w:r w:rsidR="002D40BB" w:rsidRPr="00844541">
        <w:rPr>
          <w:vertAlign w:val="superscript"/>
          <w:lang w:val="fr-FR" w:bidi="en-US"/>
        </w:rPr>
        <w:t>o</w:t>
      </w:r>
      <w:r w:rsidR="002D40BB" w:rsidRPr="00844541">
        <w:rPr>
          <w:lang w:val="fr-FR" w:bidi="en-US"/>
        </w:rPr>
        <w:t xml:space="preserve"> 165/2013 </w:t>
      </w:r>
      <w:r w:rsidR="00EB2ECA" w:rsidRPr="00844541">
        <w:rPr>
          <w:lang w:val="fr-FR" w:bidi="en-US"/>
        </w:rPr>
        <w:t>relative à la finalisation du processus de restitution, en nature ou par équivalent, des biens immeubles transférés abusivement dans le patrimoine de l</w:t>
      </w:r>
      <w:r w:rsidR="00844541">
        <w:rPr>
          <w:lang w:val="fr-FR" w:bidi="en-US"/>
        </w:rPr>
        <w:t>’</w:t>
      </w:r>
      <w:r w:rsidR="00EB2ECA" w:rsidRPr="00844541">
        <w:rPr>
          <w:lang w:val="fr-FR" w:bidi="en-US"/>
        </w:rPr>
        <w:t>État sous le régime communiste en Roumanie ne s</w:t>
      </w:r>
      <w:r w:rsidR="00844541">
        <w:rPr>
          <w:lang w:val="fr-FR" w:bidi="en-US"/>
        </w:rPr>
        <w:t>’</w:t>
      </w:r>
      <w:r w:rsidR="00EB2ECA" w:rsidRPr="00844541">
        <w:rPr>
          <w:lang w:val="fr-FR" w:bidi="en-US"/>
        </w:rPr>
        <w:t>appliqu</w:t>
      </w:r>
      <w:r w:rsidR="00551534" w:rsidRPr="00844541">
        <w:rPr>
          <w:lang w:val="fr-FR" w:bidi="en-US"/>
        </w:rPr>
        <w:t>e</w:t>
      </w:r>
      <w:r w:rsidR="00EB2ECA" w:rsidRPr="00844541">
        <w:rPr>
          <w:lang w:val="fr-FR" w:bidi="en-US"/>
        </w:rPr>
        <w:t xml:space="preserve"> pas aux demandes de restitution </w:t>
      </w:r>
      <w:r w:rsidR="00551534" w:rsidRPr="00844541">
        <w:rPr>
          <w:lang w:val="fr-FR" w:bidi="en-US"/>
        </w:rPr>
        <w:t xml:space="preserve">formulées par la communauté gréco-catholique </w:t>
      </w:r>
      <w:r w:rsidR="00EB2ECA" w:rsidRPr="00844541">
        <w:rPr>
          <w:lang w:val="fr-FR" w:bidi="en-US"/>
        </w:rPr>
        <w:t>concernant les lieux d</w:t>
      </w:r>
      <w:r w:rsidR="00A56E15" w:rsidRPr="00844541">
        <w:rPr>
          <w:lang w:val="fr-FR" w:bidi="en-US"/>
        </w:rPr>
        <w:t>e</w:t>
      </w:r>
      <w:r w:rsidR="00EB2ECA" w:rsidRPr="00844541">
        <w:rPr>
          <w:lang w:val="fr-FR" w:bidi="en-US"/>
        </w:rPr>
        <w:t xml:space="preserve"> culte.</w:t>
      </w:r>
    </w:p>
    <w:p w:rsidR="0000732D" w:rsidRPr="00844541" w:rsidRDefault="00CE3330" w:rsidP="00844541">
      <w:pPr>
        <w:pStyle w:val="ECHRHeading2"/>
      </w:pPr>
      <w:r w:rsidRPr="00844541">
        <w:lastRenderedPageBreak/>
        <w:t>B.</w:t>
      </w:r>
      <w:r w:rsidR="00875B62" w:rsidRPr="00844541">
        <w:t>  </w:t>
      </w:r>
      <w:r w:rsidRPr="00844541">
        <w:t>La disposition pertinente</w:t>
      </w:r>
      <w:r w:rsidR="00F524C8" w:rsidRPr="00844541">
        <w:t xml:space="preserve"> </w:t>
      </w:r>
      <w:r w:rsidR="00B0019B" w:rsidRPr="00844541">
        <w:t>en l</w:t>
      </w:r>
      <w:r w:rsidR="00844541">
        <w:t>’</w:t>
      </w:r>
      <w:r w:rsidR="00B0019B" w:rsidRPr="00844541">
        <w:t xml:space="preserve">espèce </w:t>
      </w:r>
      <w:r w:rsidR="00F524C8" w:rsidRPr="00844541">
        <w:t>du code civil</w:t>
      </w:r>
      <w:r w:rsidRPr="00844541">
        <w:t xml:space="preserve"> portant sur le droit de propriété</w:t>
      </w:r>
    </w:p>
    <w:bookmarkStart w:id="14" w:name="P41"/>
    <w:p w:rsidR="00B67321" w:rsidRPr="00844541" w:rsidRDefault="00B67321"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43</w:t>
      </w:r>
      <w:r w:rsidRPr="00844541">
        <w:fldChar w:fldCharType="end"/>
      </w:r>
      <w:bookmarkEnd w:id="14"/>
      <w:r w:rsidRPr="00844541">
        <w:rPr>
          <w:lang w:val="fr-FR"/>
        </w:rPr>
        <w:t>.  L</w:t>
      </w:r>
      <w:r w:rsidR="00844541">
        <w:rPr>
          <w:lang w:val="fr-FR"/>
        </w:rPr>
        <w:t>’</w:t>
      </w:r>
      <w:r w:rsidRPr="00844541">
        <w:rPr>
          <w:lang w:val="fr-FR"/>
        </w:rPr>
        <w:t>article 480 du code civil est ainsi libellé :</w:t>
      </w:r>
    </w:p>
    <w:p w:rsidR="00F541FF" w:rsidRPr="00844541" w:rsidRDefault="00F541FF" w:rsidP="00844541">
      <w:pPr>
        <w:pStyle w:val="ECHRParaQuote"/>
      </w:pPr>
      <w:r w:rsidRPr="00844541">
        <w:t>«</w:t>
      </w:r>
      <w:r w:rsidR="00AE17FD" w:rsidRPr="00844541">
        <w:t> </w:t>
      </w:r>
      <w:r w:rsidRPr="00844541">
        <w:t>La propriété est le droit de jouir et de disposer des choses de la manière la plus absolue, pourvu qu</w:t>
      </w:r>
      <w:r w:rsidR="00844541">
        <w:t>’</w:t>
      </w:r>
      <w:r w:rsidRPr="00844541">
        <w:t>on n</w:t>
      </w:r>
      <w:r w:rsidR="00844541">
        <w:t>’</w:t>
      </w:r>
      <w:r w:rsidRPr="00844541">
        <w:t>en fasse pas un usage prohibé par les lois.</w:t>
      </w:r>
      <w:r w:rsidR="00AE17FD" w:rsidRPr="00844541">
        <w:t> </w:t>
      </w:r>
      <w:r w:rsidRPr="00844541">
        <w:t>»</w:t>
      </w:r>
    </w:p>
    <w:p w:rsidR="00B43D08" w:rsidRPr="00844541" w:rsidRDefault="00AA632A"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44</w:t>
      </w:r>
      <w:r w:rsidRPr="00844541">
        <w:rPr>
          <w:noProof/>
        </w:rPr>
        <w:fldChar w:fldCharType="end"/>
      </w:r>
      <w:r w:rsidR="00E866EA" w:rsidRPr="00844541">
        <w:rPr>
          <w:lang w:val="fr-FR"/>
        </w:rPr>
        <w:t>.  </w:t>
      </w:r>
      <w:r w:rsidR="00FE340F" w:rsidRPr="00844541">
        <w:rPr>
          <w:lang w:val="fr-FR"/>
        </w:rPr>
        <w:t>La doctrine et la jurisprudence définissent l</w:t>
      </w:r>
      <w:r w:rsidR="00844541">
        <w:rPr>
          <w:lang w:val="fr-FR"/>
        </w:rPr>
        <w:t>’</w:t>
      </w:r>
      <w:r w:rsidR="00FE340F" w:rsidRPr="00844541">
        <w:rPr>
          <w:lang w:val="fr-FR"/>
        </w:rPr>
        <w:t>action en revendication, qui n</w:t>
      </w:r>
      <w:r w:rsidR="00844541">
        <w:rPr>
          <w:lang w:val="fr-FR"/>
        </w:rPr>
        <w:t>’</w:t>
      </w:r>
      <w:r w:rsidR="00FE340F" w:rsidRPr="00844541">
        <w:rPr>
          <w:lang w:val="fr-FR"/>
        </w:rPr>
        <w:t>est pas réglementée par la loi, comme l</w:t>
      </w:r>
      <w:r w:rsidR="00844541">
        <w:rPr>
          <w:lang w:val="fr-FR"/>
        </w:rPr>
        <w:t>’</w:t>
      </w:r>
      <w:r w:rsidR="00FE340F" w:rsidRPr="00844541">
        <w:rPr>
          <w:lang w:val="fr-FR"/>
        </w:rPr>
        <w:t>action par laquelle le propriétaire d</w:t>
      </w:r>
      <w:r w:rsidR="00844541">
        <w:rPr>
          <w:lang w:val="fr-FR"/>
        </w:rPr>
        <w:t>’</w:t>
      </w:r>
      <w:r w:rsidR="00FE340F" w:rsidRPr="00844541">
        <w:rPr>
          <w:lang w:val="fr-FR"/>
        </w:rPr>
        <w:t>un bien</w:t>
      </w:r>
      <w:r w:rsidR="00EA3197" w:rsidRPr="00844541">
        <w:rPr>
          <w:lang w:val="fr-FR"/>
        </w:rPr>
        <w:t>,</w:t>
      </w:r>
      <w:r w:rsidR="00FE340F" w:rsidRPr="00844541">
        <w:rPr>
          <w:lang w:val="fr-FR"/>
        </w:rPr>
        <w:t xml:space="preserve"> qui en a perdu la possession au profit d</w:t>
      </w:r>
      <w:r w:rsidR="00844541">
        <w:rPr>
          <w:lang w:val="fr-FR"/>
        </w:rPr>
        <w:t>’</w:t>
      </w:r>
      <w:r w:rsidR="00FE340F" w:rsidRPr="00844541">
        <w:rPr>
          <w:lang w:val="fr-FR"/>
        </w:rPr>
        <w:t>un tiers</w:t>
      </w:r>
      <w:r w:rsidR="00EA3197" w:rsidRPr="00844541">
        <w:rPr>
          <w:lang w:val="fr-FR"/>
        </w:rPr>
        <w:t>,</w:t>
      </w:r>
      <w:r w:rsidR="00FE340F" w:rsidRPr="00844541">
        <w:rPr>
          <w:lang w:val="fr-FR"/>
        </w:rPr>
        <w:t xml:space="preserve"> cherche à faire </w:t>
      </w:r>
      <w:r w:rsidR="00B0019B" w:rsidRPr="00844541">
        <w:rPr>
          <w:lang w:val="fr-FR"/>
        </w:rPr>
        <w:t>r</w:t>
      </w:r>
      <w:r w:rsidR="00FE340F" w:rsidRPr="00844541">
        <w:rPr>
          <w:lang w:val="fr-FR"/>
        </w:rPr>
        <w:t xml:space="preserve">établir son droit de propriété sur le bien </w:t>
      </w:r>
      <w:r w:rsidR="00B0019B" w:rsidRPr="00844541">
        <w:rPr>
          <w:lang w:val="fr-FR"/>
        </w:rPr>
        <w:t xml:space="preserve">en question </w:t>
      </w:r>
      <w:r w:rsidR="00FE340F" w:rsidRPr="00844541">
        <w:rPr>
          <w:lang w:val="fr-FR"/>
        </w:rPr>
        <w:t xml:space="preserve">et à </w:t>
      </w:r>
      <w:r w:rsidR="00346FA1" w:rsidRPr="00844541">
        <w:rPr>
          <w:lang w:val="fr-FR"/>
        </w:rPr>
        <w:t xml:space="preserve">recouvrer </w:t>
      </w:r>
      <w:r w:rsidR="00B0019B" w:rsidRPr="00844541">
        <w:rPr>
          <w:lang w:val="fr-FR"/>
        </w:rPr>
        <w:t>s</w:t>
      </w:r>
      <w:r w:rsidR="00FE340F" w:rsidRPr="00844541">
        <w:rPr>
          <w:lang w:val="fr-FR"/>
        </w:rPr>
        <w:t>a possession auprès du tiers.</w:t>
      </w:r>
      <w:bookmarkStart w:id="15" w:name="P43"/>
    </w:p>
    <w:p w:rsidR="00FE340F" w:rsidRPr="00844541" w:rsidRDefault="00AA632A"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45</w:t>
      </w:r>
      <w:r w:rsidRPr="00844541">
        <w:rPr>
          <w:noProof/>
        </w:rPr>
        <w:fldChar w:fldCharType="end"/>
      </w:r>
      <w:bookmarkEnd w:id="15"/>
      <w:r w:rsidR="00755909" w:rsidRPr="00844541">
        <w:rPr>
          <w:lang w:val="fr-FR"/>
        </w:rPr>
        <w:t>.  </w:t>
      </w:r>
      <w:r w:rsidR="00FE340F" w:rsidRPr="00844541">
        <w:rPr>
          <w:lang w:val="fr-FR"/>
        </w:rPr>
        <w:t>Les juridictions roumaines ont estimé qu</w:t>
      </w:r>
      <w:r w:rsidR="00844541">
        <w:rPr>
          <w:lang w:val="fr-FR"/>
        </w:rPr>
        <w:t>’</w:t>
      </w:r>
      <w:r w:rsidR="00FE340F" w:rsidRPr="00844541">
        <w:rPr>
          <w:lang w:val="fr-FR"/>
        </w:rPr>
        <w:t>il suffisait au cours d</w:t>
      </w:r>
      <w:r w:rsidR="00844541">
        <w:rPr>
          <w:lang w:val="fr-FR"/>
        </w:rPr>
        <w:t>’</w:t>
      </w:r>
      <w:r w:rsidR="00FE340F" w:rsidRPr="00844541">
        <w:rPr>
          <w:lang w:val="fr-FR"/>
        </w:rPr>
        <w:t xml:space="preserve">une procédure en revendication </w:t>
      </w:r>
      <w:r w:rsidR="00346FA1" w:rsidRPr="00844541">
        <w:rPr>
          <w:lang w:val="fr-FR"/>
        </w:rPr>
        <w:t xml:space="preserve">que le tribunal saisi </w:t>
      </w:r>
      <w:r w:rsidR="00FE340F" w:rsidRPr="00844541">
        <w:rPr>
          <w:lang w:val="fr-FR"/>
        </w:rPr>
        <w:t>examine les deux titres</w:t>
      </w:r>
      <w:r w:rsidR="00346FA1" w:rsidRPr="00844541">
        <w:rPr>
          <w:lang w:val="fr-FR"/>
        </w:rPr>
        <w:t xml:space="preserve"> de propriété</w:t>
      </w:r>
      <w:r w:rsidR="00FE340F" w:rsidRPr="00844541">
        <w:rPr>
          <w:lang w:val="fr-FR"/>
        </w:rPr>
        <w:t xml:space="preserve">, celui du demandeur et celui du défendeur, </w:t>
      </w:r>
      <w:r w:rsidR="00346FA1" w:rsidRPr="00844541">
        <w:rPr>
          <w:lang w:val="fr-FR"/>
        </w:rPr>
        <w:t>pour en déclarer un comme primant</w:t>
      </w:r>
      <w:r w:rsidR="00FE340F" w:rsidRPr="00844541">
        <w:rPr>
          <w:lang w:val="fr-FR"/>
        </w:rPr>
        <w:t xml:space="preserve"> (</w:t>
      </w:r>
      <w:r w:rsidR="00FE340F" w:rsidRPr="00844541">
        <w:rPr>
          <w:i/>
          <w:lang w:val="fr-FR"/>
        </w:rPr>
        <w:t>este mai caracterizat</w:t>
      </w:r>
      <w:r w:rsidR="00FE340F" w:rsidRPr="00844541">
        <w:rPr>
          <w:lang w:val="fr-FR"/>
        </w:rPr>
        <w:t>) sur l</w:t>
      </w:r>
      <w:r w:rsidR="00844541">
        <w:rPr>
          <w:lang w:val="fr-FR"/>
        </w:rPr>
        <w:t>’</w:t>
      </w:r>
      <w:r w:rsidR="00FE340F" w:rsidRPr="00844541">
        <w:rPr>
          <w:lang w:val="fr-FR"/>
        </w:rPr>
        <w:t>autre (</w:t>
      </w:r>
      <w:r w:rsidR="00B0019B" w:rsidRPr="00844541">
        <w:rPr>
          <w:lang w:val="fr-FR"/>
        </w:rPr>
        <w:t xml:space="preserve">voir, </w:t>
      </w:r>
      <w:r w:rsidR="00FE340F" w:rsidRPr="00844541">
        <w:rPr>
          <w:lang w:val="fr-FR"/>
        </w:rPr>
        <w:t xml:space="preserve">par exemple, </w:t>
      </w:r>
      <w:r w:rsidR="00FE340F" w:rsidRPr="00844541">
        <w:rPr>
          <w:szCs w:val="24"/>
          <w:lang w:val="fr-FR"/>
        </w:rPr>
        <w:t>l</w:t>
      </w:r>
      <w:r w:rsidR="00844541">
        <w:rPr>
          <w:szCs w:val="24"/>
          <w:lang w:val="fr-FR"/>
        </w:rPr>
        <w:t>’</w:t>
      </w:r>
      <w:r w:rsidR="00FE340F" w:rsidRPr="00844541">
        <w:rPr>
          <w:szCs w:val="24"/>
          <w:lang w:val="fr-FR"/>
        </w:rPr>
        <w:t>arrêt n</w:t>
      </w:r>
      <w:r w:rsidR="00FE340F" w:rsidRPr="00844541">
        <w:rPr>
          <w:szCs w:val="24"/>
          <w:vertAlign w:val="superscript"/>
          <w:lang w:val="fr-FR"/>
        </w:rPr>
        <w:t>o</w:t>
      </w:r>
      <w:r w:rsidR="00FE340F" w:rsidRPr="00844541">
        <w:rPr>
          <w:szCs w:val="24"/>
          <w:lang w:val="fr-FR"/>
        </w:rPr>
        <w:t xml:space="preserve"> 2543/1996 de la cour d</w:t>
      </w:r>
      <w:r w:rsidR="00844541">
        <w:rPr>
          <w:szCs w:val="24"/>
          <w:lang w:val="fr-FR"/>
        </w:rPr>
        <w:t>’</w:t>
      </w:r>
      <w:r w:rsidR="00FE340F" w:rsidRPr="00844541">
        <w:rPr>
          <w:szCs w:val="24"/>
          <w:lang w:val="fr-FR"/>
        </w:rPr>
        <w:t xml:space="preserve">appel de Ploieşti, publié dans </w:t>
      </w:r>
      <w:r w:rsidR="00FE340F" w:rsidRPr="00844541">
        <w:rPr>
          <w:lang w:val="fr-FR"/>
        </w:rPr>
        <w:t>M. Voicu, M</w:t>
      </w:r>
      <w:r w:rsidR="00D01A28" w:rsidRPr="00844541">
        <w:rPr>
          <w:lang w:val="fr-FR"/>
        </w:rPr>
        <w:t>. </w:t>
      </w:r>
      <w:r w:rsidR="00FE340F" w:rsidRPr="00844541">
        <w:rPr>
          <w:lang w:val="fr-FR"/>
        </w:rPr>
        <w:t xml:space="preserve">Popoacă, </w:t>
      </w:r>
      <w:r w:rsidR="00FE340F" w:rsidRPr="00844541">
        <w:rPr>
          <w:i/>
          <w:lang w:val="fr-FR"/>
        </w:rPr>
        <w:t>Dreptul de proprietate şi alte drepturi reale. Tratat de jurisprudenţă 1991 – 2002</w:t>
      </w:r>
      <w:r w:rsidR="00FE340F" w:rsidRPr="00844541">
        <w:rPr>
          <w:lang w:val="fr-FR"/>
        </w:rPr>
        <w:t xml:space="preserve"> (</w:t>
      </w:r>
      <w:r w:rsidR="00FE340F" w:rsidRPr="00844541">
        <w:rPr>
          <w:i/>
          <w:lang w:val="fr-FR"/>
        </w:rPr>
        <w:t>Le droit de propriété et les autres droits réels. Traité de jurisprudence</w:t>
      </w:r>
      <w:r w:rsidR="00FE340F" w:rsidRPr="00844541">
        <w:rPr>
          <w:lang w:val="fr-FR"/>
        </w:rPr>
        <w:t xml:space="preserve">), Ed. Lumina Lex, Bucarest, 2002, p. 358 ; </w:t>
      </w:r>
      <w:r w:rsidR="00B0019B" w:rsidRPr="00844541">
        <w:rPr>
          <w:lang w:val="fr-FR"/>
        </w:rPr>
        <w:t xml:space="preserve">voir aussi </w:t>
      </w:r>
      <w:r w:rsidR="00FE340F" w:rsidRPr="00844541">
        <w:rPr>
          <w:szCs w:val="24"/>
          <w:lang w:val="fr-FR"/>
        </w:rPr>
        <w:t>l</w:t>
      </w:r>
      <w:r w:rsidR="00844541">
        <w:rPr>
          <w:szCs w:val="24"/>
          <w:lang w:val="fr-FR"/>
        </w:rPr>
        <w:t>’</w:t>
      </w:r>
      <w:r w:rsidR="00FE340F" w:rsidRPr="00844541">
        <w:rPr>
          <w:szCs w:val="24"/>
          <w:lang w:val="fr-FR"/>
        </w:rPr>
        <w:t>arrêt </w:t>
      </w:r>
      <w:r w:rsidR="005E301A" w:rsidRPr="00844541">
        <w:rPr>
          <w:szCs w:val="24"/>
          <w:lang w:val="fr-FR"/>
        </w:rPr>
        <w:t>n</w:t>
      </w:r>
      <w:r w:rsidR="005E301A" w:rsidRPr="00844541">
        <w:rPr>
          <w:szCs w:val="24"/>
          <w:vertAlign w:val="superscript"/>
          <w:lang w:val="fr-FR"/>
        </w:rPr>
        <w:t>o</w:t>
      </w:r>
      <w:r w:rsidR="005E301A" w:rsidRPr="00844541">
        <w:rPr>
          <w:szCs w:val="24"/>
          <w:lang w:val="fr-FR"/>
        </w:rPr>
        <w:t> </w:t>
      </w:r>
      <w:r w:rsidR="00FE340F" w:rsidRPr="00844541">
        <w:rPr>
          <w:szCs w:val="24"/>
          <w:lang w:val="fr-FR"/>
        </w:rPr>
        <w:t>1554/2000 de la cour d</w:t>
      </w:r>
      <w:r w:rsidR="00844541">
        <w:rPr>
          <w:szCs w:val="24"/>
          <w:lang w:val="fr-FR"/>
        </w:rPr>
        <w:t>’</w:t>
      </w:r>
      <w:r w:rsidR="00FE340F" w:rsidRPr="00844541">
        <w:rPr>
          <w:szCs w:val="24"/>
          <w:lang w:val="fr-FR"/>
        </w:rPr>
        <w:t>appel de Cluj)</w:t>
      </w:r>
      <w:r w:rsidR="00FE340F" w:rsidRPr="00844541">
        <w:rPr>
          <w:lang w:val="fr-FR"/>
        </w:rPr>
        <w:t xml:space="preserve"> en raison par exemple de son ancienneté ou </w:t>
      </w:r>
      <w:r w:rsidR="007D412F" w:rsidRPr="00844541">
        <w:rPr>
          <w:lang w:val="fr-FR"/>
        </w:rPr>
        <w:t>de son inscription</w:t>
      </w:r>
      <w:r w:rsidR="00F879AD" w:rsidRPr="00844541">
        <w:rPr>
          <w:lang w:val="fr-FR"/>
        </w:rPr>
        <w:t xml:space="preserve"> antérieure dans</w:t>
      </w:r>
      <w:r w:rsidR="00FE340F" w:rsidRPr="00844541">
        <w:rPr>
          <w:lang w:val="fr-FR"/>
        </w:rPr>
        <w:t xml:space="preserve"> un registre foncier.</w:t>
      </w:r>
    </w:p>
    <w:p w:rsidR="009028E3" w:rsidRPr="00844541" w:rsidRDefault="009028E3" w:rsidP="00844541">
      <w:pPr>
        <w:pStyle w:val="ECHRHeading2"/>
      </w:pPr>
      <w:r w:rsidRPr="00844541">
        <w:t>C.</w:t>
      </w:r>
      <w:r w:rsidR="00875B62" w:rsidRPr="00844541">
        <w:t>  </w:t>
      </w:r>
      <w:r w:rsidRPr="00844541">
        <w:t xml:space="preserve">La jurisprudence interne concernant les actions engagées par différentes paroisses gréco-catholiques </w:t>
      </w:r>
      <w:r w:rsidR="00B0019B" w:rsidRPr="00844541">
        <w:t>aux fins de</w:t>
      </w:r>
      <w:r w:rsidR="005E301A" w:rsidRPr="00844541">
        <w:t xml:space="preserve"> la restitution</w:t>
      </w:r>
      <w:r w:rsidRPr="00844541">
        <w:t xml:space="preserve"> d</w:t>
      </w:r>
      <w:r w:rsidR="00844541">
        <w:t>’</w:t>
      </w:r>
      <w:r w:rsidRPr="00844541">
        <w:t>églises</w:t>
      </w:r>
    </w:p>
    <w:p w:rsidR="00875532" w:rsidRPr="00844541" w:rsidRDefault="00AA632A"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46</w:t>
      </w:r>
      <w:r w:rsidRPr="00844541">
        <w:rPr>
          <w:noProof/>
        </w:rPr>
        <w:fldChar w:fldCharType="end"/>
      </w:r>
      <w:r w:rsidR="00181BCF" w:rsidRPr="00844541">
        <w:rPr>
          <w:lang w:val="fr-FR"/>
        </w:rPr>
        <w:t>.  </w:t>
      </w:r>
      <w:r w:rsidR="004A347B" w:rsidRPr="00844541">
        <w:rPr>
          <w:lang w:val="fr-FR"/>
        </w:rPr>
        <w:t xml:space="preserve">Les </w:t>
      </w:r>
      <w:r w:rsidR="00364807" w:rsidRPr="00844541">
        <w:rPr>
          <w:lang w:val="fr-FR"/>
        </w:rPr>
        <w:t>parties</w:t>
      </w:r>
      <w:r w:rsidR="004A347B" w:rsidRPr="00844541">
        <w:rPr>
          <w:lang w:val="fr-FR"/>
        </w:rPr>
        <w:t xml:space="preserve"> ont</w:t>
      </w:r>
      <w:r w:rsidR="00875532" w:rsidRPr="00844541">
        <w:rPr>
          <w:lang w:val="fr-FR"/>
        </w:rPr>
        <w:t xml:space="preserve"> versé au dossier de l</w:t>
      </w:r>
      <w:r w:rsidR="00844541">
        <w:rPr>
          <w:lang w:val="fr-FR"/>
        </w:rPr>
        <w:t>’</w:t>
      </w:r>
      <w:r w:rsidR="00875532" w:rsidRPr="00844541">
        <w:rPr>
          <w:lang w:val="fr-FR"/>
        </w:rPr>
        <w:t xml:space="preserve">affaire </w:t>
      </w:r>
      <w:r w:rsidR="00910DD6" w:rsidRPr="00844541">
        <w:rPr>
          <w:lang w:val="fr-FR"/>
        </w:rPr>
        <w:t xml:space="preserve">des </w:t>
      </w:r>
      <w:r w:rsidR="00875532" w:rsidRPr="00844541">
        <w:rPr>
          <w:lang w:val="fr-FR"/>
        </w:rPr>
        <w:t xml:space="preserve">décisions de justice </w:t>
      </w:r>
      <w:r w:rsidR="00B0019B" w:rsidRPr="00844541">
        <w:rPr>
          <w:lang w:val="fr-FR"/>
        </w:rPr>
        <w:t>relatives à</w:t>
      </w:r>
      <w:r w:rsidR="00875532" w:rsidRPr="00844541">
        <w:rPr>
          <w:lang w:val="fr-FR"/>
        </w:rPr>
        <w:t xml:space="preserve"> des actions engagées par des </w:t>
      </w:r>
      <w:r w:rsidR="00114095" w:rsidRPr="00844541">
        <w:rPr>
          <w:lang w:val="fr-FR"/>
        </w:rPr>
        <w:t>Églises</w:t>
      </w:r>
      <w:r w:rsidR="00875532" w:rsidRPr="00844541">
        <w:rPr>
          <w:lang w:val="fr-FR"/>
        </w:rPr>
        <w:t xml:space="preserve"> gréco-catholiques contre des </w:t>
      </w:r>
      <w:r w:rsidR="00114095" w:rsidRPr="00844541">
        <w:rPr>
          <w:lang w:val="fr-FR"/>
        </w:rPr>
        <w:t>Églises</w:t>
      </w:r>
      <w:r w:rsidR="00875532" w:rsidRPr="00844541">
        <w:rPr>
          <w:lang w:val="fr-FR"/>
        </w:rPr>
        <w:t xml:space="preserve"> orthodoxes </w:t>
      </w:r>
      <w:r w:rsidR="00B0019B" w:rsidRPr="00844541">
        <w:rPr>
          <w:lang w:val="fr-FR"/>
        </w:rPr>
        <w:t>aux fins de</w:t>
      </w:r>
      <w:r w:rsidR="00875532" w:rsidRPr="00844541">
        <w:rPr>
          <w:lang w:val="fr-FR"/>
        </w:rPr>
        <w:t xml:space="preserve"> </w:t>
      </w:r>
      <w:r w:rsidR="00212F0C" w:rsidRPr="00844541">
        <w:rPr>
          <w:lang w:val="fr-FR"/>
        </w:rPr>
        <w:t xml:space="preserve">la </w:t>
      </w:r>
      <w:r w:rsidR="00875532" w:rsidRPr="00844541">
        <w:rPr>
          <w:lang w:val="fr-FR"/>
        </w:rPr>
        <w:t xml:space="preserve">restitution de lieux de culte. Ces actions </w:t>
      </w:r>
      <w:r w:rsidR="00DC09BD" w:rsidRPr="00844541">
        <w:rPr>
          <w:lang w:val="fr-FR"/>
        </w:rPr>
        <w:t>étaient</w:t>
      </w:r>
      <w:r w:rsidR="00875532" w:rsidRPr="00844541">
        <w:rPr>
          <w:lang w:val="fr-FR"/>
        </w:rPr>
        <w:t xml:space="preserve"> fondées majoritairement sur l</w:t>
      </w:r>
      <w:r w:rsidR="00844541">
        <w:rPr>
          <w:lang w:val="fr-FR"/>
        </w:rPr>
        <w:t>’</w:t>
      </w:r>
      <w:r w:rsidR="00875532" w:rsidRPr="00844541">
        <w:rPr>
          <w:lang w:val="fr-FR"/>
        </w:rPr>
        <w:t>article 480 du code civil et visai</w:t>
      </w:r>
      <w:r w:rsidR="00E93DEC" w:rsidRPr="00844541">
        <w:rPr>
          <w:lang w:val="fr-FR"/>
        </w:rPr>
        <w:t>en</w:t>
      </w:r>
      <w:r w:rsidR="00875532" w:rsidRPr="00844541">
        <w:rPr>
          <w:lang w:val="fr-FR"/>
        </w:rPr>
        <w:t xml:space="preserve">t la rectification des livres fonciers sur lesquels les </w:t>
      </w:r>
      <w:r w:rsidR="00114095" w:rsidRPr="00844541">
        <w:rPr>
          <w:lang w:val="fr-FR"/>
        </w:rPr>
        <w:t>Églises</w:t>
      </w:r>
      <w:r w:rsidR="00875532" w:rsidRPr="00844541">
        <w:rPr>
          <w:lang w:val="fr-FR"/>
        </w:rPr>
        <w:t xml:space="preserve"> orthodoxes avaient fait inscrire leur droit de propriété sur les biens en litige.</w:t>
      </w:r>
    </w:p>
    <w:p w:rsidR="00DD72C7" w:rsidRPr="00844541" w:rsidRDefault="00DD72C7" w:rsidP="00844541">
      <w:pPr>
        <w:pStyle w:val="ECHRHeading3"/>
      </w:pPr>
      <w:r w:rsidRPr="00844541">
        <w:t>1.</w:t>
      </w:r>
      <w:r w:rsidR="005E301A" w:rsidRPr="00844541">
        <w:t>  </w:t>
      </w:r>
      <w:r w:rsidRPr="00844541">
        <w:t>Les décisions rendues par la Haute Cour de cassation et de justice</w:t>
      </w:r>
    </w:p>
    <w:p w:rsidR="006C5165" w:rsidRPr="00844541" w:rsidRDefault="00AA632A"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47</w:t>
      </w:r>
      <w:r w:rsidRPr="00844541">
        <w:rPr>
          <w:noProof/>
        </w:rPr>
        <w:fldChar w:fldCharType="end"/>
      </w:r>
      <w:r w:rsidR="00181BCF" w:rsidRPr="00844541">
        <w:rPr>
          <w:lang w:val="fr-FR"/>
        </w:rPr>
        <w:t>.  </w:t>
      </w:r>
      <w:r w:rsidR="006C5165" w:rsidRPr="00844541">
        <w:rPr>
          <w:lang w:val="fr-FR"/>
        </w:rPr>
        <w:t>La Haute Cour de cassation et de justice (« la Haute Cour ») examine les actions en tant que dernier degré de juridiction sur pourvoi en recours des parties.</w:t>
      </w:r>
    </w:p>
    <w:bookmarkStart w:id="16" w:name="P47"/>
    <w:p w:rsidR="00BE094C" w:rsidRPr="00844541" w:rsidRDefault="001D6F7B"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48</w:t>
      </w:r>
      <w:r w:rsidRPr="00844541">
        <w:rPr>
          <w:noProof/>
        </w:rPr>
        <w:fldChar w:fldCharType="end"/>
      </w:r>
      <w:bookmarkEnd w:id="16"/>
      <w:r w:rsidR="00181BCF" w:rsidRPr="00844541">
        <w:rPr>
          <w:lang w:val="fr-FR"/>
        </w:rPr>
        <w:t>.  </w:t>
      </w:r>
      <w:r w:rsidR="00BE094C" w:rsidRPr="00844541">
        <w:rPr>
          <w:lang w:val="fr-FR"/>
        </w:rPr>
        <w:t>Dans une série de décisions versées au dossier</w:t>
      </w:r>
      <w:r w:rsidR="002B0761" w:rsidRPr="00844541">
        <w:rPr>
          <w:lang w:val="fr-FR"/>
        </w:rPr>
        <w:t xml:space="preserve"> (</w:t>
      </w:r>
      <w:r w:rsidR="00DC09BD" w:rsidRPr="00844541">
        <w:rPr>
          <w:lang w:val="fr-FR"/>
        </w:rPr>
        <w:t>voir</w:t>
      </w:r>
      <w:r w:rsidR="009E34FE" w:rsidRPr="00844541">
        <w:rPr>
          <w:lang w:val="fr-FR"/>
        </w:rPr>
        <w:t>,</w:t>
      </w:r>
      <w:r w:rsidR="00DC09BD" w:rsidRPr="00844541">
        <w:rPr>
          <w:lang w:val="fr-FR"/>
        </w:rPr>
        <w:t xml:space="preserve"> </w:t>
      </w:r>
      <w:r w:rsidR="002B0761" w:rsidRPr="00844541">
        <w:rPr>
          <w:lang w:val="fr-FR"/>
        </w:rPr>
        <w:t xml:space="preserve">par exemple, les arrêts de la Haute Cour des </w:t>
      </w:r>
      <w:r w:rsidR="00364807" w:rsidRPr="00844541">
        <w:rPr>
          <w:lang w:val="fr-FR"/>
        </w:rPr>
        <w:t xml:space="preserve">5 février 2013, </w:t>
      </w:r>
      <w:r w:rsidR="002B0761" w:rsidRPr="00844541">
        <w:rPr>
          <w:lang w:val="fr-FR"/>
        </w:rPr>
        <w:t>mars 2013, 19 mars 2013, 16 mai 2013</w:t>
      </w:r>
      <w:r w:rsidR="00F04B00" w:rsidRPr="00844541">
        <w:rPr>
          <w:lang w:val="fr-FR"/>
        </w:rPr>
        <w:t xml:space="preserve"> et</w:t>
      </w:r>
      <w:r w:rsidR="002B0761" w:rsidRPr="00844541">
        <w:rPr>
          <w:lang w:val="fr-FR"/>
        </w:rPr>
        <w:t xml:space="preserve"> </w:t>
      </w:r>
      <w:r w:rsidR="00364807" w:rsidRPr="00844541">
        <w:rPr>
          <w:lang w:val="fr-FR"/>
        </w:rPr>
        <w:t xml:space="preserve">2 octobre 2013, </w:t>
      </w:r>
      <w:r w:rsidR="00F04B00" w:rsidRPr="00844541">
        <w:rPr>
          <w:lang w:val="fr-FR"/>
        </w:rPr>
        <w:t xml:space="preserve">des </w:t>
      </w:r>
      <w:r w:rsidR="002B0761" w:rsidRPr="00844541">
        <w:rPr>
          <w:lang w:val="fr-FR"/>
        </w:rPr>
        <w:t>16 mai 2012</w:t>
      </w:r>
      <w:r w:rsidR="00F04B00" w:rsidRPr="00844541">
        <w:rPr>
          <w:lang w:val="fr-FR"/>
        </w:rPr>
        <w:t xml:space="preserve"> et</w:t>
      </w:r>
      <w:r w:rsidR="002B0761" w:rsidRPr="00844541">
        <w:rPr>
          <w:lang w:val="fr-FR"/>
        </w:rPr>
        <w:t xml:space="preserve"> 12 décembre 2012, </w:t>
      </w:r>
      <w:r w:rsidR="00F04B00" w:rsidRPr="00844541">
        <w:rPr>
          <w:lang w:val="fr-FR"/>
        </w:rPr>
        <w:t xml:space="preserve">et des </w:t>
      </w:r>
      <w:r w:rsidR="002B0761" w:rsidRPr="00844541">
        <w:rPr>
          <w:lang w:val="fr-FR"/>
        </w:rPr>
        <w:t>26 janvier 2011 et 24 novembre 2011 )</w:t>
      </w:r>
      <w:r w:rsidR="00BE094C" w:rsidRPr="00844541">
        <w:rPr>
          <w:lang w:val="fr-FR"/>
        </w:rPr>
        <w:t xml:space="preserve">, </w:t>
      </w:r>
      <w:r w:rsidR="00B62095" w:rsidRPr="00844541">
        <w:rPr>
          <w:lang w:val="fr-FR"/>
        </w:rPr>
        <w:t xml:space="preserve">la Haute Cour a </w:t>
      </w:r>
      <w:r w:rsidR="00BE094C" w:rsidRPr="00844541">
        <w:rPr>
          <w:lang w:val="fr-FR"/>
        </w:rPr>
        <w:t>jugé que</w:t>
      </w:r>
      <w:r w:rsidR="00A76520" w:rsidRPr="00844541">
        <w:rPr>
          <w:lang w:val="fr-FR"/>
        </w:rPr>
        <w:t>,</w:t>
      </w:r>
      <w:r w:rsidR="00BE094C" w:rsidRPr="00844541">
        <w:rPr>
          <w:lang w:val="fr-FR"/>
        </w:rPr>
        <w:t xml:space="preserve"> bien que la partie gréco-catholique </w:t>
      </w:r>
      <w:r w:rsidR="00F04B00" w:rsidRPr="00844541">
        <w:rPr>
          <w:lang w:val="fr-FR"/>
        </w:rPr>
        <w:t>eût</w:t>
      </w:r>
      <w:r w:rsidR="00BE094C" w:rsidRPr="00844541">
        <w:rPr>
          <w:lang w:val="fr-FR"/>
        </w:rPr>
        <w:t xml:space="preserve"> saisi les tribunaux d</w:t>
      </w:r>
      <w:r w:rsidR="00844541">
        <w:rPr>
          <w:lang w:val="fr-FR"/>
        </w:rPr>
        <w:t>’</w:t>
      </w:r>
      <w:r w:rsidR="00BE094C" w:rsidRPr="00844541">
        <w:rPr>
          <w:lang w:val="fr-FR"/>
        </w:rPr>
        <w:t>une action en r</w:t>
      </w:r>
      <w:r w:rsidR="000901EB" w:rsidRPr="00844541">
        <w:rPr>
          <w:lang w:val="fr-FR"/>
        </w:rPr>
        <w:t xml:space="preserve">evendication de droit commun, </w:t>
      </w:r>
      <w:r w:rsidR="00F04B00" w:rsidRPr="00844541">
        <w:rPr>
          <w:lang w:val="fr-FR"/>
        </w:rPr>
        <w:t>elle</w:t>
      </w:r>
      <w:r w:rsidR="000901EB" w:rsidRPr="00844541">
        <w:rPr>
          <w:lang w:val="fr-FR"/>
        </w:rPr>
        <w:t xml:space="preserve"> ne pouvait pas faire</w:t>
      </w:r>
      <w:r w:rsidR="00BE094C" w:rsidRPr="00844541">
        <w:rPr>
          <w:lang w:val="fr-FR"/>
        </w:rPr>
        <w:t xml:space="preserve"> abstraction du </w:t>
      </w:r>
      <w:r w:rsidR="00BE094C" w:rsidRPr="00844541">
        <w:rPr>
          <w:lang w:val="fr-FR"/>
        </w:rPr>
        <w:lastRenderedPageBreak/>
        <w:t xml:space="preserve">critère </w:t>
      </w:r>
      <w:r w:rsidR="002B0761" w:rsidRPr="00844541">
        <w:rPr>
          <w:lang w:val="fr-FR"/>
        </w:rPr>
        <w:t xml:space="preserve">de la volonté des </w:t>
      </w:r>
      <w:r w:rsidR="00F04B00" w:rsidRPr="00844541">
        <w:rPr>
          <w:lang w:val="fr-FR"/>
        </w:rPr>
        <w:t>fidèles</w:t>
      </w:r>
      <w:r w:rsidR="002B0761" w:rsidRPr="00844541">
        <w:rPr>
          <w:lang w:val="fr-FR"/>
        </w:rPr>
        <w:t xml:space="preserve"> des communautés </w:t>
      </w:r>
      <w:r w:rsidR="00F04B00" w:rsidRPr="00844541">
        <w:rPr>
          <w:lang w:val="fr-FR"/>
        </w:rPr>
        <w:t xml:space="preserve">détentrices de </w:t>
      </w:r>
      <w:r w:rsidR="002B0761" w:rsidRPr="00844541">
        <w:rPr>
          <w:lang w:val="fr-FR"/>
        </w:rPr>
        <w:t>ces biens</w:t>
      </w:r>
      <w:r w:rsidR="00DC09BD" w:rsidRPr="00844541">
        <w:rPr>
          <w:lang w:val="fr-FR"/>
        </w:rPr>
        <w:t>,</w:t>
      </w:r>
      <w:r w:rsidR="002B0761" w:rsidRPr="00844541">
        <w:rPr>
          <w:lang w:val="fr-FR"/>
        </w:rPr>
        <w:t xml:space="preserve"> </w:t>
      </w:r>
      <w:r w:rsidR="00BE094C" w:rsidRPr="00844541">
        <w:rPr>
          <w:lang w:val="fr-FR"/>
        </w:rPr>
        <w:t>établi par la loi spéciale</w:t>
      </w:r>
      <w:r w:rsidR="00650325" w:rsidRPr="00844541">
        <w:rPr>
          <w:lang w:val="fr-FR"/>
        </w:rPr>
        <w:t>, à savoir le décret-loi n</w:t>
      </w:r>
      <w:r w:rsidR="00650325" w:rsidRPr="00844541">
        <w:rPr>
          <w:vertAlign w:val="superscript"/>
          <w:lang w:val="fr-FR"/>
        </w:rPr>
        <w:t>o</w:t>
      </w:r>
      <w:r w:rsidR="00650325" w:rsidRPr="00844541">
        <w:rPr>
          <w:lang w:val="fr-FR"/>
        </w:rPr>
        <w:t xml:space="preserve"> 126/1990</w:t>
      </w:r>
      <w:r w:rsidR="00BE094C" w:rsidRPr="00844541">
        <w:rPr>
          <w:lang w:val="fr-FR"/>
        </w:rPr>
        <w:t xml:space="preserve">. </w:t>
      </w:r>
      <w:r w:rsidR="00AD4BA3" w:rsidRPr="00844541">
        <w:rPr>
          <w:lang w:val="fr-FR"/>
        </w:rPr>
        <w:t xml:space="preserve">Dans une </w:t>
      </w:r>
      <w:r w:rsidR="002B0761" w:rsidRPr="00844541">
        <w:rPr>
          <w:lang w:val="fr-FR"/>
        </w:rPr>
        <w:t xml:space="preserve">autre </w:t>
      </w:r>
      <w:r w:rsidR="00AD4BA3" w:rsidRPr="00844541">
        <w:rPr>
          <w:lang w:val="fr-FR"/>
        </w:rPr>
        <w:t>série d</w:t>
      </w:r>
      <w:r w:rsidR="00844541">
        <w:rPr>
          <w:lang w:val="fr-FR"/>
        </w:rPr>
        <w:t>’</w:t>
      </w:r>
      <w:r w:rsidR="00AD4BA3" w:rsidRPr="00844541">
        <w:rPr>
          <w:lang w:val="fr-FR"/>
        </w:rPr>
        <w:t xml:space="preserve">affaires, la Haute Cour </w:t>
      </w:r>
      <w:r w:rsidR="006371EC" w:rsidRPr="00844541">
        <w:rPr>
          <w:lang w:val="fr-FR"/>
        </w:rPr>
        <w:t xml:space="preserve">a </w:t>
      </w:r>
      <w:r w:rsidR="00AD4BA3" w:rsidRPr="00844541">
        <w:rPr>
          <w:lang w:val="fr-FR"/>
        </w:rPr>
        <w:t>cass</w:t>
      </w:r>
      <w:r w:rsidR="006371EC" w:rsidRPr="00844541">
        <w:rPr>
          <w:lang w:val="fr-FR"/>
        </w:rPr>
        <w:t>é</w:t>
      </w:r>
      <w:r w:rsidR="00AD4BA3" w:rsidRPr="00844541">
        <w:rPr>
          <w:lang w:val="fr-FR"/>
        </w:rPr>
        <w:t xml:space="preserve"> les décisions des </w:t>
      </w:r>
      <w:r w:rsidR="00FB3056" w:rsidRPr="00844541">
        <w:rPr>
          <w:lang w:val="fr-FR"/>
        </w:rPr>
        <w:t>juridictions inférieures en renvoya</w:t>
      </w:r>
      <w:r w:rsidR="00DC09BD" w:rsidRPr="00844541">
        <w:rPr>
          <w:lang w:val="fr-FR"/>
        </w:rPr>
        <w:t>nt</w:t>
      </w:r>
      <w:r w:rsidR="00FB3056" w:rsidRPr="00844541">
        <w:rPr>
          <w:lang w:val="fr-FR"/>
        </w:rPr>
        <w:t xml:space="preserve"> les affaires</w:t>
      </w:r>
      <w:r w:rsidR="002B0761" w:rsidRPr="00844541">
        <w:rPr>
          <w:lang w:val="fr-FR"/>
        </w:rPr>
        <w:t xml:space="preserve"> pour réexamen</w:t>
      </w:r>
      <w:r w:rsidR="00FB3056" w:rsidRPr="00844541">
        <w:rPr>
          <w:lang w:val="fr-FR"/>
        </w:rPr>
        <w:t xml:space="preserve">, au motif que le critère </w:t>
      </w:r>
      <w:r w:rsidR="006371EC" w:rsidRPr="00844541">
        <w:rPr>
          <w:lang w:val="fr-FR"/>
        </w:rPr>
        <w:t xml:space="preserve">fixé </w:t>
      </w:r>
      <w:r w:rsidR="00FB3056" w:rsidRPr="00844541">
        <w:rPr>
          <w:lang w:val="fr-FR"/>
        </w:rPr>
        <w:t>par la loi spéciale n</w:t>
      </w:r>
      <w:r w:rsidR="00844541">
        <w:rPr>
          <w:lang w:val="fr-FR"/>
        </w:rPr>
        <w:t>’</w:t>
      </w:r>
      <w:r w:rsidR="00FB3056" w:rsidRPr="00844541">
        <w:rPr>
          <w:lang w:val="fr-FR"/>
        </w:rPr>
        <w:t>a</w:t>
      </w:r>
      <w:r w:rsidR="00DC09BD" w:rsidRPr="00844541">
        <w:rPr>
          <w:lang w:val="fr-FR"/>
        </w:rPr>
        <w:t>vait</w:t>
      </w:r>
      <w:r w:rsidR="00FB3056" w:rsidRPr="00844541">
        <w:rPr>
          <w:lang w:val="fr-FR"/>
        </w:rPr>
        <w:t xml:space="preserve"> pas été appliqué (</w:t>
      </w:r>
      <w:r w:rsidR="00DC09BD" w:rsidRPr="00844541">
        <w:rPr>
          <w:lang w:val="fr-FR"/>
        </w:rPr>
        <w:t>voir</w:t>
      </w:r>
      <w:r w:rsidR="00892D92" w:rsidRPr="00844541">
        <w:rPr>
          <w:lang w:val="fr-FR"/>
        </w:rPr>
        <w:t>,</w:t>
      </w:r>
      <w:r w:rsidR="00DC09BD" w:rsidRPr="00844541">
        <w:rPr>
          <w:lang w:val="fr-FR"/>
        </w:rPr>
        <w:t xml:space="preserve"> </w:t>
      </w:r>
      <w:r w:rsidR="00FB3056" w:rsidRPr="00844541">
        <w:rPr>
          <w:lang w:val="fr-FR"/>
        </w:rPr>
        <w:t xml:space="preserve">par exemple, </w:t>
      </w:r>
      <w:r w:rsidR="0035660A" w:rsidRPr="00844541">
        <w:rPr>
          <w:lang w:val="fr-FR"/>
        </w:rPr>
        <w:t xml:space="preserve">les </w:t>
      </w:r>
      <w:r w:rsidR="00FB3056" w:rsidRPr="00844541">
        <w:rPr>
          <w:lang w:val="fr-FR"/>
        </w:rPr>
        <w:t>arrêt</w:t>
      </w:r>
      <w:r w:rsidR="0035660A" w:rsidRPr="00844541">
        <w:rPr>
          <w:lang w:val="fr-FR"/>
        </w:rPr>
        <w:t>s du 24 mars 2009,</w:t>
      </w:r>
      <w:r w:rsidR="00FB3056" w:rsidRPr="00844541">
        <w:rPr>
          <w:lang w:val="fr-FR"/>
        </w:rPr>
        <w:t xml:space="preserve"> </w:t>
      </w:r>
      <w:r w:rsidR="0007407E" w:rsidRPr="00844541">
        <w:rPr>
          <w:lang w:val="fr-FR"/>
        </w:rPr>
        <w:t xml:space="preserve">du 9 novembre 2010, </w:t>
      </w:r>
      <w:r w:rsidR="00FB3056" w:rsidRPr="00844541">
        <w:rPr>
          <w:lang w:val="fr-FR"/>
        </w:rPr>
        <w:t>d</w:t>
      </w:r>
      <w:r w:rsidR="006371EC" w:rsidRPr="00844541">
        <w:rPr>
          <w:lang w:val="fr-FR"/>
        </w:rPr>
        <w:t>es</w:t>
      </w:r>
      <w:r w:rsidR="00FB3056" w:rsidRPr="00844541">
        <w:rPr>
          <w:lang w:val="fr-FR"/>
        </w:rPr>
        <w:t xml:space="preserve"> 14 novembre 2012</w:t>
      </w:r>
      <w:r w:rsidR="006371EC" w:rsidRPr="00844541">
        <w:rPr>
          <w:lang w:val="fr-FR"/>
        </w:rPr>
        <w:t xml:space="preserve"> et 11 décembre 2012,</w:t>
      </w:r>
      <w:r w:rsidR="0035660A" w:rsidRPr="00844541">
        <w:rPr>
          <w:lang w:val="fr-FR"/>
        </w:rPr>
        <w:t xml:space="preserve"> et du </w:t>
      </w:r>
      <w:r w:rsidR="00FB3056" w:rsidRPr="00844541">
        <w:rPr>
          <w:lang w:val="fr-FR"/>
        </w:rPr>
        <w:t>7 février 2013).</w:t>
      </w:r>
    </w:p>
    <w:p w:rsidR="007E7C89"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49</w:t>
      </w:r>
      <w:r w:rsidRPr="00844541">
        <w:rPr>
          <w:noProof/>
        </w:rPr>
        <w:fldChar w:fldCharType="end"/>
      </w:r>
      <w:r w:rsidR="00C56DB0" w:rsidRPr="00844541">
        <w:rPr>
          <w:lang w:val="fr-FR"/>
        </w:rPr>
        <w:t>.  </w:t>
      </w:r>
      <w:r w:rsidR="007E7C89" w:rsidRPr="00844541">
        <w:rPr>
          <w:lang w:val="fr-FR"/>
        </w:rPr>
        <w:t>Dans un arrêt du 20 juin 2013, la Haute Cour a admis l</w:t>
      </w:r>
      <w:r w:rsidR="00844541">
        <w:rPr>
          <w:lang w:val="fr-FR"/>
        </w:rPr>
        <w:t>’</w:t>
      </w:r>
      <w:r w:rsidR="007E7C89" w:rsidRPr="00844541">
        <w:rPr>
          <w:lang w:val="fr-FR"/>
        </w:rPr>
        <w:t xml:space="preserve">action en revendication dans un contexte où deux églises </w:t>
      </w:r>
      <w:r w:rsidR="00892D92" w:rsidRPr="00844541">
        <w:rPr>
          <w:lang w:val="fr-FR"/>
        </w:rPr>
        <w:t xml:space="preserve">existaient dans la localité </w:t>
      </w:r>
      <w:r w:rsidR="007E7C89" w:rsidRPr="00844541">
        <w:rPr>
          <w:lang w:val="fr-FR"/>
        </w:rPr>
        <w:t xml:space="preserve">et </w:t>
      </w:r>
      <w:r w:rsidR="007D52DF" w:rsidRPr="00844541">
        <w:rPr>
          <w:lang w:val="fr-FR"/>
        </w:rPr>
        <w:t>où</w:t>
      </w:r>
      <w:r w:rsidR="007E7C89" w:rsidRPr="00844541">
        <w:rPr>
          <w:lang w:val="fr-FR"/>
        </w:rPr>
        <w:t xml:space="preserve">, bien que seulement deux des quatre-vingt-dix habitants de la commune </w:t>
      </w:r>
      <w:r w:rsidR="00892D92" w:rsidRPr="00844541">
        <w:rPr>
          <w:lang w:val="fr-FR"/>
        </w:rPr>
        <w:t xml:space="preserve">fussent </w:t>
      </w:r>
      <w:r w:rsidR="007E7C89" w:rsidRPr="00844541">
        <w:rPr>
          <w:lang w:val="fr-FR"/>
        </w:rPr>
        <w:t>gréco-catholiques, l</w:t>
      </w:r>
      <w:r w:rsidR="00844541">
        <w:rPr>
          <w:lang w:val="fr-FR"/>
        </w:rPr>
        <w:t>’</w:t>
      </w:r>
      <w:r w:rsidR="007E7C89" w:rsidRPr="00844541">
        <w:rPr>
          <w:lang w:val="fr-FR"/>
        </w:rPr>
        <w:t xml:space="preserve">église </w:t>
      </w:r>
      <w:r w:rsidR="007D52DF" w:rsidRPr="00844541">
        <w:rPr>
          <w:lang w:val="fr-FR"/>
        </w:rPr>
        <w:t>revendiquée n</w:t>
      </w:r>
      <w:r w:rsidR="00844541">
        <w:rPr>
          <w:lang w:val="fr-FR"/>
        </w:rPr>
        <w:t>’</w:t>
      </w:r>
      <w:r w:rsidR="007D52DF" w:rsidRPr="00844541">
        <w:rPr>
          <w:lang w:val="fr-FR"/>
        </w:rPr>
        <w:t xml:space="preserve">était pas </w:t>
      </w:r>
      <w:r w:rsidR="007E7C89" w:rsidRPr="00844541">
        <w:rPr>
          <w:lang w:val="fr-FR"/>
        </w:rPr>
        <w:t>utilisée par le culte orthodoxe.</w:t>
      </w:r>
    </w:p>
    <w:p w:rsidR="00BB0038" w:rsidRPr="00844541" w:rsidRDefault="003855E5"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50</w:t>
      </w:r>
      <w:r w:rsidRPr="00844541">
        <w:rPr>
          <w:noProof/>
        </w:rPr>
        <w:fldChar w:fldCharType="end"/>
      </w:r>
      <w:r w:rsidR="00181BCF" w:rsidRPr="00844541">
        <w:rPr>
          <w:lang w:val="fr-FR"/>
        </w:rPr>
        <w:t>.  </w:t>
      </w:r>
      <w:r w:rsidR="00DA458A" w:rsidRPr="00844541">
        <w:rPr>
          <w:lang w:val="fr-FR"/>
        </w:rPr>
        <w:t xml:space="preserve">Dans certains arrêts, la Haute Cour </w:t>
      </w:r>
      <w:r w:rsidR="00840C37" w:rsidRPr="00844541">
        <w:rPr>
          <w:lang w:val="fr-FR"/>
        </w:rPr>
        <w:t>a tranché</w:t>
      </w:r>
      <w:r w:rsidR="00DA458A" w:rsidRPr="00844541">
        <w:rPr>
          <w:lang w:val="fr-FR"/>
        </w:rPr>
        <w:t xml:space="preserve"> l</w:t>
      </w:r>
      <w:r w:rsidR="00844541">
        <w:rPr>
          <w:lang w:val="fr-FR"/>
        </w:rPr>
        <w:t>’</w:t>
      </w:r>
      <w:r w:rsidR="00DA458A" w:rsidRPr="00844541">
        <w:rPr>
          <w:lang w:val="fr-FR"/>
        </w:rPr>
        <w:t xml:space="preserve">action en revendication en </w:t>
      </w:r>
      <w:r w:rsidR="00D14DA1" w:rsidRPr="00844541">
        <w:rPr>
          <w:lang w:val="fr-FR"/>
        </w:rPr>
        <w:t xml:space="preserve">comparant </w:t>
      </w:r>
      <w:r w:rsidR="00DA458A" w:rsidRPr="00844541">
        <w:rPr>
          <w:lang w:val="fr-FR"/>
        </w:rPr>
        <w:t xml:space="preserve">les titres </w:t>
      </w:r>
      <w:r w:rsidR="00F7537C" w:rsidRPr="00844541">
        <w:rPr>
          <w:lang w:val="fr-FR"/>
        </w:rPr>
        <w:t xml:space="preserve">des parties en litige </w:t>
      </w:r>
      <w:r w:rsidR="00DA458A" w:rsidRPr="00844541">
        <w:rPr>
          <w:lang w:val="fr-FR"/>
        </w:rPr>
        <w:t>inscrits sur le livre fonci</w:t>
      </w:r>
      <w:r w:rsidR="00B6643A" w:rsidRPr="00844541">
        <w:rPr>
          <w:lang w:val="fr-FR"/>
        </w:rPr>
        <w:t>er</w:t>
      </w:r>
      <w:r w:rsidR="000F63B9" w:rsidRPr="00844541">
        <w:rPr>
          <w:lang w:val="fr-FR"/>
        </w:rPr>
        <w:t xml:space="preserve"> (</w:t>
      </w:r>
      <w:r w:rsidR="00DC09BD" w:rsidRPr="00844541">
        <w:rPr>
          <w:lang w:val="fr-FR"/>
        </w:rPr>
        <w:t xml:space="preserve">voir </w:t>
      </w:r>
      <w:r w:rsidR="000F63B9" w:rsidRPr="00844541">
        <w:rPr>
          <w:lang w:val="fr-FR"/>
        </w:rPr>
        <w:t xml:space="preserve">par exemple, les arrêts du </w:t>
      </w:r>
      <w:r w:rsidR="00DA458A" w:rsidRPr="00844541">
        <w:rPr>
          <w:lang w:val="fr-FR"/>
        </w:rPr>
        <w:t>10 mars 2011,</w:t>
      </w:r>
      <w:r w:rsidR="000F63B9" w:rsidRPr="00844541">
        <w:rPr>
          <w:lang w:val="fr-FR"/>
        </w:rPr>
        <w:t xml:space="preserve"> et des 16 mai</w:t>
      </w:r>
      <w:r w:rsidR="00D14DA1" w:rsidRPr="00844541">
        <w:rPr>
          <w:lang w:val="fr-FR"/>
        </w:rPr>
        <w:t xml:space="preserve"> 2012</w:t>
      </w:r>
      <w:r w:rsidR="00230DBD" w:rsidRPr="00844541">
        <w:rPr>
          <w:lang w:val="fr-FR"/>
        </w:rPr>
        <w:t xml:space="preserve">, </w:t>
      </w:r>
      <w:r w:rsidR="00D14DA1" w:rsidRPr="00844541">
        <w:rPr>
          <w:lang w:val="fr-FR"/>
        </w:rPr>
        <w:t>2 </w:t>
      </w:r>
      <w:r w:rsidR="00230DBD" w:rsidRPr="00844541">
        <w:rPr>
          <w:lang w:val="fr-FR"/>
        </w:rPr>
        <w:t>octobre</w:t>
      </w:r>
      <w:r w:rsidR="00D14DA1" w:rsidRPr="00844541">
        <w:rPr>
          <w:lang w:val="fr-FR"/>
        </w:rPr>
        <w:t xml:space="preserve"> 2012</w:t>
      </w:r>
      <w:r w:rsidR="000F63B9" w:rsidRPr="00844541">
        <w:rPr>
          <w:lang w:val="fr-FR"/>
        </w:rPr>
        <w:t xml:space="preserve"> et 21</w:t>
      </w:r>
      <w:r w:rsidR="00174065" w:rsidRPr="00844541">
        <w:rPr>
          <w:lang w:val="fr-FR"/>
        </w:rPr>
        <w:t> </w:t>
      </w:r>
      <w:r w:rsidR="000F63B9" w:rsidRPr="00844541">
        <w:rPr>
          <w:lang w:val="fr-FR"/>
        </w:rPr>
        <w:t>novembre 2012</w:t>
      </w:r>
      <w:r w:rsidR="00D14DA1" w:rsidRPr="00844541">
        <w:rPr>
          <w:lang w:val="fr-FR"/>
        </w:rPr>
        <w:t>,</w:t>
      </w:r>
      <w:r w:rsidR="0007407E" w:rsidRPr="00844541">
        <w:rPr>
          <w:lang w:val="fr-FR"/>
        </w:rPr>
        <w:t xml:space="preserve"> et du 1</w:t>
      </w:r>
      <w:r w:rsidR="0007407E" w:rsidRPr="00844541">
        <w:rPr>
          <w:vertAlign w:val="superscript"/>
          <w:lang w:val="fr-FR"/>
        </w:rPr>
        <w:t>er</w:t>
      </w:r>
      <w:r w:rsidR="0007407E" w:rsidRPr="00844541">
        <w:rPr>
          <w:lang w:val="fr-FR"/>
        </w:rPr>
        <w:t xml:space="preserve"> octobre 2013</w:t>
      </w:r>
      <w:r w:rsidR="000F63B9" w:rsidRPr="00844541">
        <w:rPr>
          <w:lang w:val="fr-FR"/>
        </w:rPr>
        <w:t xml:space="preserve">). </w:t>
      </w:r>
      <w:r w:rsidR="00471168" w:rsidRPr="00844541">
        <w:rPr>
          <w:lang w:val="fr-FR"/>
        </w:rPr>
        <w:t>Dans un arrêt définitif du 25</w:t>
      </w:r>
      <w:r w:rsidR="0007407E" w:rsidRPr="00844541">
        <w:rPr>
          <w:lang w:val="fr-FR"/>
        </w:rPr>
        <w:t> </w:t>
      </w:r>
      <w:r w:rsidR="00471168" w:rsidRPr="00844541">
        <w:rPr>
          <w:lang w:val="fr-FR"/>
        </w:rPr>
        <w:t xml:space="preserve">novembre 2008, la Haute Cour </w:t>
      </w:r>
      <w:r w:rsidR="003E6244" w:rsidRPr="00844541">
        <w:rPr>
          <w:lang w:val="fr-FR"/>
        </w:rPr>
        <w:t xml:space="preserve">a </w:t>
      </w:r>
      <w:r w:rsidR="00471168" w:rsidRPr="00844541">
        <w:rPr>
          <w:lang w:val="fr-FR"/>
        </w:rPr>
        <w:t>renvo</w:t>
      </w:r>
      <w:r w:rsidR="003E6244" w:rsidRPr="00844541">
        <w:rPr>
          <w:lang w:val="fr-FR"/>
        </w:rPr>
        <w:t>yé</w:t>
      </w:r>
      <w:r w:rsidR="00471168" w:rsidRPr="00844541">
        <w:rPr>
          <w:lang w:val="fr-FR"/>
        </w:rPr>
        <w:t xml:space="preserve"> une affaire </w:t>
      </w:r>
      <w:r w:rsidR="00840C37" w:rsidRPr="00844541">
        <w:rPr>
          <w:lang w:val="fr-FR"/>
        </w:rPr>
        <w:t xml:space="preserve">pour </w:t>
      </w:r>
      <w:r w:rsidR="00471168" w:rsidRPr="00844541">
        <w:rPr>
          <w:lang w:val="fr-FR"/>
        </w:rPr>
        <w:t>jugement aux juridictions inférieures après avoir noté que l</w:t>
      </w:r>
      <w:r w:rsidR="00844541">
        <w:rPr>
          <w:lang w:val="fr-FR"/>
        </w:rPr>
        <w:t>’</w:t>
      </w:r>
      <w:r w:rsidR="00114095" w:rsidRPr="00844541">
        <w:rPr>
          <w:lang w:val="fr-FR"/>
        </w:rPr>
        <w:t>Église</w:t>
      </w:r>
      <w:r w:rsidR="00471168" w:rsidRPr="00844541">
        <w:rPr>
          <w:lang w:val="fr-FR"/>
        </w:rPr>
        <w:t xml:space="preserve"> orthodoxe était inscrite dans le livre foncier et que le critère de la volonté des </w:t>
      </w:r>
      <w:r w:rsidR="00D14DA1" w:rsidRPr="00844541">
        <w:rPr>
          <w:lang w:val="fr-FR"/>
        </w:rPr>
        <w:t xml:space="preserve">fidèles </w:t>
      </w:r>
      <w:r w:rsidR="00840C37" w:rsidRPr="00844541">
        <w:rPr>
          <w:lang w:val="fr-FR"/>
        </w:rPr>
        <w:t>n</w:t>
      </w:r>
      <w:r w:rsidR="00844541">
        <w:rPr>
          <w:lang w:val="fr-FR"/>
        </w:rPr>
        <w:t>’</w:t>
      </w:r>
      <w:r w:rsidR="00840C37" w:rsidRPr="00844541">
        <w:rPr>
          <w:lang w:val="fr-FR"/>
        </w:rPr>
        <w:t>était</w:t>
      </w:r>
      <w:r w:rsidR="00471168" w:rsidRPr="00844541">
        <w:rPr>
          <w:lang w:val="fr-FR"/>
        </w:rPr>
        <w:t xml:space="preserve"> applicable </w:t>
      </w:r>
      <w:r w:rsidR="00840C37" w:rsidRPr="00844541">
        <w:rPr>
          <w:lang w:val="fr-FR"/>
        </w:rPr>
        <w:t xml:space="preserve">que </w:t>
      </w:r>
      <w:r w:rsidR="00471168" w:rsidRPr="00844541">
        <w:rPr>
          <w:lang w:val="fr-FR"/>
        </w:rPr>
        <w:t>pendant la procédure préalable devant les commissions mixtes.</w:t>
      </w:r>
    </w:p>
    <w:p w:rsidR="003766F6" w:rsidRPr="00844541" w:rsidRDefault="00521790" w:rsidP="00844541">
      <w:pPr>
        <w:pStyle w:val="ECHRHeading3"/>
      </w:pPr>
      <w:r w:rsidRPr="00844541">
        <w:t>2</w:t>
      </w:r>
      <w:r w:rsidR="003766F6" w:rsidRPr="00844541">
        <w:t>.</w:t>
      </w:r>
      <w:r w:rsidR="009E34FE" w:rsidRPr="00844541">
        <w:t>  </w:t>
      </w:r>
      <w:r w:rsidR="003766F6" w:rsidRPr="00844541">
        <w:t xml:space="preserve">La jurisprudence de la Cour </w:t>
      </w:r>
      <w:r w:rsidR="00BB484C" w:rsidRPr="00844541">
        <w:t>c</w:t>
      </w:r>
      <w:r w:rsidR="003766F6" w:rsidRPr="00844541">
        <w:t>onstitutionnelle</w:t>
      </w:r>
    </w:p>
    <w:bookmarkStart w:id="17" w:name="P54"/>
    <w:p w:rsidR="00B43D08" w:rsidRPr="00844541" w:rsidRDefault="00AA632A"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51</w:t>
      </w:r>
      <w:r w:rsidRPr="00844541">
        <w:rPr>
          <w:noProof/>
        </w:rPr>
        <w:fldChar w:fldCharType="end"/>
      </w:r>
      <w:bookmarkEnd w:id="17"/>
      <w:r w:rsidR="004B3586" w:rsidRPr="00844541">
        <w:rPr>
          <w:lang w:val="fr-FR"/>
        </w:rPr>
        <w:t>.  </w:t>
      </w:r>
      <w:r w:rsidR="009E3CD9" w:rsidRPr="00844541">
        <w:rPr>
          <w:lang w:val="fr-FR"/>
        </w:rPr>
        <w:t>La Cour constitutionnelle</w:t>
      </w:r>
      <w:r w:rsidR="009267FC" w:rsidRPr="00844541">
        <w:rPr>
          <w:lang w:val="fr-FR"/>
        </w:rPr>
        <w:t xml:space="preserve"> a été</w:t>
      </w:r>
      <w:r w:rsidR="009E3CD9" w:rsidRPr="00844541">
        <w:rPr>
          <w:lang w:val="fr-FR"/>
        </w:rPr>
        <w:t xml:space="preserve"> saisie d</w:t>
      </w:r>
      <w:r w:rsidR="00844541">
        <w:rPr>
          <w:lang w:val="fr-FR"/>
        </w:rPr>
        <w:t>’</w:t>
      </w:r>
      <w:r w:rsidR="009E3CD9" w:rsidRPr="00844541">
        <w:rPr>
          <w:lang w:val="fr-FR"/>
        </w:rPr>
        <w:t xml:space="preserve">une exception </w:t>
      </w:r>
      <w:r w:rsidR="00892D92" w:rsidRPr="00844541">
        <w:rPr>
          <w:lang w:val="fr-FR"/>
        </w:rPr>
        <w:t>d</w:t>
      </w:r>
      <w:r w:rsidR="00844541">
        <w:rPr>
          <w:lang w:val="fr-FR"/>
        </w:rPr>
        <w:t>’</w:t>
      </w:r>
      <w:r w:rsidR="00892D92" w:rsidRPr="00844541">
        <w:rPr>
          <w:lang w:val="fr-FR"/>
        </w:rPr>
        <w:t>in</w:t>
      </w:r>
      <w:r w:rsidR="009E3CD9" w:rsidRPr="00844541">
        <w:rPr>
          <w:lang w:val="fr-FR"/>
        </w:rPr>
        <w:t>constitutionnalité de l</w:t>
      </w:r>
      <w:r w:rsidR="00844541">
        <w:rPr>
          <w:lang w:val="fr-FR"/>
        </w:rPr>
        <w:t>’</w:t>
      </w:r>
      <w:r w:rsidR="009E3CD9" w:rsidRPr="00844541">
        <w:rPr>
          <w:lang w:val="fr-FR"/>
        </w:rPr>
        <w:t>article 3</w:t>
      </w:r>
      <w:r w:rsidR="00892D92" w:rsidRPr="00844541">
        <w:rPr>
          <w:lang w:val="fr-FR"/>
        </w:rPr>
        <w:t>,</w:t>
      </w:r>
      <w:r w:rsidR="009E3CD9" w:rsidRPr="00844541">
        <w:rPr>
          <w:lang w:val="fr-FR"/>
        </w:rPr>
        <w:t xml:space="preserve"> premier alinéa</w:t>
      </w:r>
      <w:r w:rsidR="00892D92" w:rsidRPr="00844541">
        <w:rPr>
          <w:lang w:val="fr-FR"/>
        </w:rPr>
        <w:t>,</w:t>
      </w:r>
      <w:r w:rsidR="009E3CD9" w:rsidRPr="00844541">
        <w:rPr>
          <w:lang w:val="fr-FR"/>
        </w:rPr>
        <w:t xml:space="preserve"> </w:t>
      </w:r>
      <w:r w:rsidR="009E3CD9" w:rsidRPr="00844541">
        <w:rPr>
          <w:i/>
          <w:lang w:val="fr-FR"/>
        </w:rPr>
        <w:t>in fine</w:t>
      </w:r>
      <w:r w:rsidR="009E3CD9" w:rsidRPr="00844541">
        <w:rPr>
          <w:lang w:val="fr-FR"/>
        </w:rPr>
        <w:t xml:space="preserve"> du décret-loi n</w:t>
      </w:r>
      <w:r w:rsidR="009E3CD9" w:rsidRPr="00844541">
        <w:rPr>
          <w:vertAlign w:val="superscript"/>
          <w:lang w:val="fr-FR"/>
        </w:rPr>
        <w:t>o</w:t>
      </w:r>
      <w:r w:rsidR="009267FC" w:rsidRPr="00844541">
        <w:rPr>
          <w:lang w:val="fr-FR"/>
        </w:rPr>
        <w:t> </w:t>
      </w:r>
      <w:r w:rsidR="009E3CD9" w:rsidRPr="00844541">
        <w:rPr>
          <w:lang w:val="fr-FR"/>
        </w:rPr>
        <w:t xml:space="preserve">126/1990, </w:t>
      </w:r>
      <w:r w:rsidR="00BB484C" w:rsidRPr="00844541">
        <w:rPr>
          <w:lang w:val="fr-FR"/>
        </w:rPr>
        <w:t>article selon lequel</w:t>
      </w:r>
      <w:r w:rsidR="009E3CD9" w:rsidRPr="00844541">
        <w:rPr>
          <w:lang w:val="fr-FR"/>
        </w:rPr>
        <w:t xml:space="preserve"> la situation juridique des lieux de culte sera </w:t>
      </w:r>
      <w:r w:rsidR="00B04251" w:rsidRPr="00844541">
        <w:rPr>
          <w:lang w:val="fr-FR"/>
        </w:rPr>
        <w:t xml:space="preserve">fixée </w:t>
      </w:r>
      <w:r w:rsidR="009E3CD9" w:rsidRPr="00844541">
        <w:rPr>
          <w:lang w:val="fr-FR"/>
        </w:rPr>
        <w:t xml:space="preserve">en prenant en compte « la volonté des </w:t>
      </w:r>
      <w:r w:rsidR="005D0A36" w:rsidRPr="00844541">
        <w:rPr>
          <w:lang w:val="fr-FR"/>
        </w:rPr>
        <w:t>fidèles</w:t>
      </w:r>
      <w:r w:rsidR="009E3CD9" w:rsidRPr="00844541">
        <w:rPr>
          <w:lang w:val="fr-FR"/>
        </w:rPr>
        <w:t xml:space="preserve"> des communautés déten</w:t>
      </w:r>
      <w:r w:rsidR="005D0A36" w:rsidRPr="00844541">
        <w:rPr>
          <w:lang w:val="fr-FR"/>
        </w:rPr>
        <w:t>trices</w:t>
      </w:r>
      <w:r w:rsidR="009E3CD9" w:rsidRPr="00844541">
        <w:rPr>
          <w:lang w:val="fr-FR"/>
        </w:rPr>
        <w:t xml:space="preserve"> des biens ». Selon l</w:t>
      </w:r>
      <w:r w:rsidR="00844541">
        <w:rPr>
          <w:lang w:val="fr-FR"/>
        </w:rPr>
        <w:t>’</w:t>
      </w:r>
      <w:r w:rsidR="009E3CD9" w:rsidRPr="00844541">
        <w:rPr>
          <w:lang w:val="fr-FR"/>
        </w:rPr>
        <w:t>auteur de l</w:t>
      </w:r>
      <w:r w:rsidR="00844541">
        <w:rPr>
          <w:lang w:val="fr-FR"/>
        </w:rPr>
        <w:t>’</w:t>
      </w:r>
      <w:r w:rsidR="009E3CD9" w:rsidRPr="00844541">
        <w:rPr>
          <w:lang w:val="fr-FR"/>
        </w:rPr>
        <w:t xml:space="preserve">exception </w:t>
      </w:r>
      <w:r w:rsidR="00892D92" w:rsidRPr="00844541">
        <w:rPr>
          <w:lang w:val="fr-FR"/>
        </w:rPr>
        <w:t>d</w:t>
      </w:r>
      <w:r w:rsidR="00844541">
        <w:rPr>
          <w:lang w:val="fr-FR"/>
        </w:rPr>
        <w:t>’</w:t>
      </w:r>
      <w:r w:rsidR="00892D92" w:rsidRPr="00844541">
        <w:rPr>
          <w:lang w:val="fr-FR"/>
        </w:rPr>
        <w:t>in</w:t>
      </w:r>
      <w:r w:rsidR="009E3CD9" w:rsidRPr="00844541">
        <w:rPr>
          <w:lang w:val="fr-FR"/>
        </w:rPr>
        <w:t xml:space="preserve">constitutionnalité, ce texte </w:t>
      </w:r>
      <w:r w:rsidR="008407AA" w:rsidRPr="00844541">
        <w:rPr>
          <w:lang w:val="fr-FR"/>
        </w:rPr>
        <w:t xml:space="preserve">de loi </w:t>
      </w:r>
      <w:r w:rsidR="009E3CD9" w:rsidRPr="00844541">
        <w:rPr>
          <w:lang w:val="fr-FR"/>
        </w:rPr>
        <w:t>contrevenait aux dispositions de la Constitution protégeant la liberté de conscience</w:t>
      </w:r>
      <w:r w:rsidR="00DD0FB4" w:rsidRPr="00844541">
        <w:rPr>
          <w:lang w:val="fr-FR"/>
        </w:rPr>
        <w:t xml:space="preserve"> et</w:t>
      </w:r>
      <w:r w:rsidR="009E3CD9" w:rsidRPr="00844541">
        <w:rPr>
          <w:lang w:val="fr-FR"/>
        </w:rPr>
        <w:t xml:space="preserve"> le droit de propriété.</w:t>
      </w:r>
      <w:r w:rsidR="00AD51AD" w:rsidRPr="00844541">
        <w:rPr>
          <w:lang w:val="fr-FR"/>
        </w:rPr>
        <w:t xml:space="preserve"> </w:t>
      </w:r>
      <w:r w:rsidR="003452D4" w:rsidRPr="00844541">
        <w:rPr>
          <w:lang w:val="fr-FR"/>
        </w:rPr>
        <w:t>Dans sa décision n</w:t>
      </w:r>
      <w:r w:rsidR="003452D4" w:rsidRPr="00844541">
        <w:rPr>
          <w:vertAlign w:val="superscript"/>
          <w:lang w:val="fr-FR"/>
        </w:rPr>
        <w:t>o</w:t>
      </w:r>
      <w:r w:rsidR="003452D4" w:rsidRPr="00844541">
        <w:rPr>
          <w:lang w:val="fr-FR"/>
        </w:rPr>
        <w:t xml:space="preserve"> 23 du 27</w:t>
      </w:r>
      <w:r w:rsidR="00AD51AD" w:rsidRPr="00844541">
        <w:rPr>
          <w:lang w:val="fr-FR"/>
        </w:rPr>
        <w:t> </w:t>
      </w:r>
      <w:r w:rsidR="003452D4" w:rsidRPr="00844541">
        <w:rPr>
          <w:lang w:val="fr-FR"/>
        </w:rPr>
        <w:t xml:space="preserve">avril 1993, la Cour constitutionnelle </w:t>
      </w:r>
      <w:r w:rsidR="001C5751" w:rsidRPr="00844541">
        <w:rPr>
          <w:lang w:val="fr-FR"/>
        </w:rPr>
        <w:t xml:space="preserve">a </w:t>
      </w:r>
      <w:r w:rsidR="00DD0FB4" w:rsidRPr="00844541">
        <w:rPr>
          <w:lang w:val="fr-FR"/>
        </w:rPr>
        <w:t>rejeté cette exception et a jugé que ce critère</w:t>
      </w:r>
      <w:r w:rsidR="00EC480C" w:rsidRPr="00844541">
        <w:rPr>
          <w:lang w:val="fr-FR"/>
        </w:rPr>
        <w:t>,</w:t>
      </w:r>
      <w:r w:rsidR="00DD0FB4" w:rsidRPr="00844541">
        <w:rPr>
          <w:lang w:val="fr-FR"/>
        </w:rPr>
        <w:t xml:space="preserve"> appliqué par les commissions mixtes</w:t>
      </w:r>
      <w:r w:rsidR="00EC480C" w:rsidRPr="00844541">
        <w:rPr>
          <w:lang w:val="fr-FR"/>
        </w:rPr>
        <w:t>,</w:t>
      </w:r>
      <w:r w:rsidR="00DD0FB4" w:rsidRPr="00844541">
        <w:rPr>
          <w:lang w:val="fr-FR"/>
        </w:rPr>
        <w:t xml:space="preserve"> était conforme à la Constitution. </w:t>
      </w:r>
      <w:r w:rsidR="00B04251" w:rsidRPr="00844541">
        <w:rPr>
          <w:rFonts w:cstheme="minorHAnsi"/>
          <w:lang w:val="fr-FR"/>
        </w:rPr>
        <w:t>À</w:t>
      </w:r>
      <w:r w:rsidR="00B04251" w:rsidRPr="00844541">
        <w:rPr>
          <w:lang w:val="fr-FR"/>
        </w:rPr>
        <w:t xml:space="preserve"> la suite d</w:t>
      </w:r>
      <w:r w:rsidR="00844541">
        <w:rPr>
          <w:lang w:val="fr-FR"/>
        </w:rPr>
        <w:t>’</w:t>
      </w:r>
      <w:r w:rsidR="00B04251" w:rsidRPr="00844541">
        <w:rPr>
          <w:lang w:val="fr-FR"/>
        </w:rPr>
        <w:t>une nouvelle saisine, e</w:t>
      </w:r>
      <w:r w:rsidR="00DD0FB4" w:rsidRPr="00844541">
        <w:rPr>
          <w:lang w:val="fr-FR"/>
        </w:rPr>
        <w:t xml:space="preserve">lle </w:t>
      </w:r>
      <w:r w:rsidR="00B04251" w:rsidRPr="00844541">
        <w:rPr>
          <w:lang w:val="fr-FR"/>
        </w:rPr>
        <w:t xml:space="preserve">a </w:t>
      </w:r>
      <w:r w:rsidR="00DD0FB4" w:rsidRPr="00844541">
        <w:rPr>
          <w:lang w:val="fr-FR"/>
        </w:rPr>
        <w:t>confirm</w:t>
      </w:r>
      <w:r w:rsidR="00B04251" w:rsidRPr="00844541">
        <w:rPr>
          <w:lang w:val="fr-FR"/>
        </w:rPr>
        <w:t>é</w:t>
      </w:r>
      <w:r w:rsidR="00DD0FB4" w:rsidRPr="00844541">
        <w:rPr>
          <w:lang w:val="fr-FR"/>
        </w:rPr>
        <w:t xml:space="preserve"> sa position par </w:t>
      </w:r>
      <w:r w:rsidR="00D356CD" w:rsidRPr="00844541">
        <w:rPr>
          <w:lang w:val="fr-FR"/>
        </w:rPr>
        <w:t>une</w:t>
      </w:r>
      <w:r w:rsidR="00DD0FB4" w:rsidRPr="00844541">
        <w:rPr>
          <w:lang w:val="fr-FR"/>
        </w:rPr>
        <w:t xml:space="preserve"> </w:t>
      </w:r>
      <w:r w:rsidR="00F10881" w:rsidRPr="00844541">
        <w:rPr>
          <w:lang w:val="fr-FR"/>
        </w:rPr>
        <w:t>décision n</w:t>
      </w:r>
      <w:r w:rsidR="00F10881" w:rsidRPr="00844541">
        <w:rPr>
          <w:vertAlign w:val="superscript"/>
          <w:lang w:val="fr-FR"/>
        </w:rPr>
        <w:t>o</w:t>
      </w:r>
      <w:r w:rsidR="00F10881" w:rsidRPr="00844541">
        <w:rPr>
          <w:lang w:val="fr-FR"/>
        </w:rPr>
        <w:t xml:space="preserve"> 49 du 19 mai 1995</w:t>
      </w:r>
      <w:r w:rsidR="00105BE1" w:rsidRPr="00844541">
        <w:rPr>
          <w:lang w:val="fr-FR"/>
        </w:rPr>
        <w:t>.</w:t>
      </w:r>
    </w:p>
    <w:p w:rsidR="009E3CD9"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52</w:t>
      </w:r>
      <w:r w:rsidRPr="00844541">
        <w:rPr>
          <w:noProof/>
        </w:rPr>
        <w:fldChar w:fldCharType="end"/>
      </w:r>
      <w:r w:rsidR="00F10881" w:rsidRPr="00844541">
        <w:rPr>
          <w:lang w:val="fr-FR"/>
        </w:rPr>
        <w:t>.  </w:t>
      </w:r>
      <w:r w:rsidR="009E3CD9" w:rsidRPr="00844541">
        <w:rPr>
          <w:lang w:val="fr-FR"/>
        </w:rPr>
        <w:t xml:space="preserve">Par une décision du 27 septembre 2012, la Cour constitutionnelle </w:t>
      </w:r>
      <w:r w:rsidR="00D356CD" w:rsidRPr="00844541">
        <w:rPr>
          <w:lang w:val="fr-FR"/>
        </w:rPr>
        <w:t xml:space="preserve">a </w:t>
      </w:r>
      <w:r w:rsidR="009E3CD9" w:rsidRPr="00844541">
        <w:rPr>
          <w:lang w:val="fr-FR"/>
        </w:rPr>
        <w:t>confirm</w:t>
      </w:r>
      <w:r w:rsidR="00D356CD" w:rsidRPr="00844541">
        <w:rPr>
          <w:lang w:val="fr-FR"/>
        </w:rPr>
        <w:t>é</w:t>
      </w:r>
      <w:r w:rsidR="009E3CD9" w:rsidRPr="00844541">
        <w:rPr>
          <w:lang w:val="fr-FR"/>
        </w:rPr>
        <w:t xml:space="preserve"> sa jurisprudence antérieure</w:t>
      </w:r>
      <w:r w:rsidR="00F10881" w:rsidRPr="00844541">
        <w:rPr>
          <w:lang w:val="fr-FR"/>
        </w:rPr>
        <w:t xml:space="preserve"> et</w:t>
      </w:r>
      <w:r w:rsidR="009E3CD9" w:rsidRPr="00844541">
        <w:rPr>
          <w:lang w:val="fr-FR"/>
        </w:rPr>
        <w:t xml:space="preserve"> </w:t>
      </w:r>
      <w:r w:rsidR="00D356CD" w:rsidRPr="00844541">
        <w:rPr>
          <w:lang w:val="fr-FR"/>
        </w:rPr>
        <w:t xml:space="preserve">a </w:t>
      </w:r>
      <w:r w:rsidR="009E3CD9" w:rsidRPr="00844541">
        <w:rPr>
          <w:lang w:val="fr-FR"/>
        </w:rPr>
        <w:t>rejet</w:t>
      </w:r>
      <w:r w:rsidR="00D356CD" w:rsidRPr="00844541">
        <w:rPr>
          <w:lang w:val="fr-FR"/>
        </w:rPr>
        <w:t>é</w:t>
      </w:r>
      <w:r w:rsidR="009E3CD9" w:rsidRPr="00844541">
        <w:rPr>
          <w:lang w:val="fr-FR"/>
        </w:rPr>
        <w:t xml:space="preserve"> l</w:t>
      </w:r>
      <w:r w:rsidR="00844541">
        <w:rPr>
          <w:lang w:val="fr-FR"/>
        </w:rPr>
        <w:t>’</w:t>
      </w:r>
      <w:r w:rsidR="009E3CD9" w:rsidRPr="00844541">
        <w:rPr>
          <w:lang w:val="fr-FR"/>
        </w:rPr>
        <w:t xml:space="preserve">exception </w:t>
      </w:r>
      <w:r w:rsidR="00892D92" w:rsidRPr="00844541">
        <w:rPr>
          <w:lang w:val="fr-FR"/>
        </w:rPr>
        <w:t>d</w:t>
      </w:r>
      <w:r w:rsidR="00844541">
        <w:rPr>
          <w:lang w:val="fr-FR"/>
        </w:rPr>
        <w:t>’</w:t>
      </w:r>
      <w:r w:rsidR="00892D92" w:rsidRPr="00844541">
        <w:rPr>
          <w:lang w:val="fr-FR"/>
        </w:rPr>
        <w:t>in</w:t>
      </w:r>
      <w:r w:rsidR="009E3CD9" w:rsidRPr="00844541">
        <w:rPr>
          <w:lang w:val="fr-FR"/>
        </w:rPr>
        <w:t xml:space="preserve">constitutionnalité </w:t>
      </w:r>
      <w:r w:rsidR="00105BE1" w:rsidRPr="00844541">
        <w:rPr>
          <w:lang w:val="fr-FR"/>
        </w:rPr>
        <w:t>d</w:t>
      </w:r>
      <w:r w:rsidR="00892D92" w:rsidRPr="00844541">
        <w:rPr>
          <w:lang w:val="fr-FR"/>
        </w:rPr>
        <w:t>e l</w:t>
      </w:r>
      <w:r w:rsidR="00844541">
        <w:rPr>
          <w:lang w:val="fr-FR"/>
        </w:rPr>
        <w:t>’</w:t>
      </w:r>
      <w:r w:rsidR="00105BE1" w:rsidRPr="00844541">
        <w:rPr>
          <w:lang w:val="fr-FR"/>
        </w:rPr>
        <w:t>article 3 susmentionné,</w:t>
      </w:r>
      <w:r w:rsidR="009E3CD9" w:rsidRPr="00844541">
        <w:rPr>
          <w:lang w:val="fr-FR"/>
        </w:rPr>
        <w:t xml:space="preserve"> </w:t>
      </w:r>
      <w:r w:rsidR="004654DC" w:rsidRPr="00844541">
        <w:rPr>
          <w:lang w:val="fr-FR"/>
        </w:rPr>
        <w:t>statuant</w:t>
      </w:r>
      <w:r w:rsidR="009E3CD9" w:rsidRPr="00844541">
        <w:rPr>
          <w:lang w:val="fr-FR"/>
        </w:rPr>
        <w:t xml:space="preserve"> </w:t>
      </w:r>
      <w:r w:rsidR="00424CCB" w:rsidRPr="00844541">
        <w:rPr>
          <w:lang w:val="fr-FR"/>
        </w:rPr>
        <w:t>comme suit </w:t>
      </w:r>
      <w:r w:rsidR="009E3CD9" w:rsidRPr="00844541">
        <w:rPr>
          <w:lang w:val="fr-FR"/>
        </w:rPr>
        <w:t>:</w:t>
      </w:r>
    </w:p>
    <w:p w:rsidR="009E3CD9" w:rsidRPr="00844541" w:rsidRDefault="009E3CD9" w:rsidP="00844541">
      <w:pPr>
        <w:pStyle w:val="ECHRParaQuote"/>
      </w:pPr>
      <w:r w:rsidRPr="00844541">
        <w:t>« (</w:t>
      </w:r>
      <w:r w:rsidR="00EE1080" w:rsidRPr="00844541">
        <w:t>...</w:t>
      </w:r>
      <w:r w:rsidRPr="00844541">
        <w:t>) l</w:t>
      </w:r>
      <w:r w:rsidR="004654DC" w:rsidRPr="00844541">
        <w:t>a</w:t>
      </w:r>
      <w:r w:rsidRPr="00844541">
        <w:t xml:space="preserve"> démocratie implique l</w:t>
      </w:r>
      <w:r w:rsidR="00844541">
        <w:t>’</w:t>
      </w:r>
      <w:r w:rsidRPr="00844541">
        <w:t>application du principe de la majorité, or l</w:t>
      </w:r>
      <w:r w:rsidR="003E6244" w:rsidRPr="00844541">
        <w:t>a</w:t>
      </w:r>
      <w:r w:rsidRPr="00844541">
        <w:t xml:space="preserve"> dernière </w:t>
      </w:r>
      <w:r w:rsidR="003E6244" w:rsidRPr="00844541">
        <w:t>partie</w:t>
      </w:r>
      <w:r w:rsidRPr="00844541">
        <w:t xml:space="preserve"> de l</w:t>
      </w:r>
      <w:r w:rsidR="00844541">
        <w:t>’</w:t>
      </w:r>
      <w:r w:rsidRPr="00844541">
        <w:t>article 3</w:t>
      </w:r>
      <w:r w:rsidR="009D0F00" w:rsidRPr="00844541">
        <w:t>,</w:t>
      </w:r>
      <w:r w:rsidRPr="00844541">
        <w:t xml:space="preserve"> « </w:t>
      </w:r>
      <w:r w:rsidR="009D0F00" w:rsidRPr="00844541">
        <w:t>qui prendra</w:t>
      </w:r>
      <w:r w:rsidRPr="00844541">
        <w:t xml:space="preserve"> en compte la volonté des </w:t>
      </w:r>
      <w:r w:rsidR="009D0F00" w:rsidRPr="00844541">
        <w:t xml:space="preserve">fidèles </w:t>
      </w:r>
      <w:r w:rsidRPr="00844541">
        <w:t>des communautés détentrices des biens »</w:t>
      </w:r>
      <w:r w:rsidR="009D0F00" w:rsidRPr="00844541">
        <w:t>,</w:t>
      </w:r>
      <w:r w:rsidRPr="00844541">
        <w:t xml:space="preserve"> </w:t>
      </w:r>
      <w:r w:rsidR="00EC480C" w:rsidRPr="00844541">
        <w:t>énonce</w:t>
      </w:r>
      <w:r w:rsidRPr="00844541">
        <w:t xml:space="preserve"> ce principe </w:t>
      </w:r>
      <w:r w:rsidR="00EC480C" w:rsidRPr="00844541">
        <w:t xml:space="preserve">en instituant </w:t>
      </w:r>
      <w:r w:rsidRPr="00844541">
        <w:t xml:space="preserve">un critère social, celui </w:t>
      </w:r>
      <w:r w:rsidR="00EC480C" w:rsidRPr="00844541">
        <w:t>du choix</w:t>
      </w:r>
      <w:r w:rsidRPr="00844541">
        <w:t xml:space="preserve"> de la majorité des </w:t>
      </w:r>
      <w:r w:rsidR="00D2687B" w:rsidRPr="00844541">
        <w:t>paroissiens.</w:t>
      </w:r>
    </w:p>
    <w:p w:rsidR="00B43D08" w:rsidRPr="00844541" w:rsidRDefault="00D2687B" w:rsidP="00844541">
      <w:pPr>
        <w:pStyle w:val="ECHRParaQuote"/>
      </w:pPr>
      <w:r w:rsidRPr="00844541">
        <w:t>La Cour [constitutionnelle] a jugé que l</w:t>
      </w:r>
      <w:r w:rsidR="00346848" w:rsidRPr="00844541">
        <w:t xml:space="preserve">a liberté des cultes </w:t>
      </w:r>
      <w:r w:rsidR="00F61062" w:rsidRPr="00844541">
        <w:t>religieux</w:t>
      </w:r>
      <w:r w:rsidRPr="00844541">
        <w:t xml:space="preserve"> impliqu</w:t>
      </w:r>
      <w:r w:rsidR="0090784A" w:rsidRPr="00844541">
        <w:t>ait</w:t>
      </w:r>
      <w:r w:rsidRPr="00844541">
        <w:t xml:space="preserve"> non seulement leur </w:t>
      </w:r>
      <w:r w:rsidR="00956EFA" w:rsidRPr="00844541">
        <w:t>autonomie</w:t>
      </w:r>
      <w:r w:rsidRPr="00844541">
        <w:t xml:space="preserve"> à l</w:t>
      </w:r>
      <w:r w:rsidR="00844541">
        <w:t>’</w:t>
      </w:r>
      <w:r w:rsidRPr="00844541">
        <w:t>égard de l</w:t>
      </w:r>
      <w:r w:rsidR="00844541">
        <w:t>’</w:t>
      </w:r>
      <w:r w:rsidR="00956EFA" w:rsidRPr="00844541">
        <w:t>État</w:t>
      </w:r>
      <w:r w:rsidRPr="00844541">
        <w:t xml:space="preserve"> (</w:t>
      </w:r>
      <w:r w:rsidR="00EE1080" w:rsidRPr="00844541">
        <w:t>...</w:t>
      </w:r>
      <w:r w:rsidRPr="00844541">
        <w:t>) mais également la liberté de croyance religieuse (</w:t>
      </w:r>
      <w:r w:rsidR="00EE1080" w:rsidRPr="00844541">
        <w:t>...</w:t>
      </w:r>
      <w:r w:rsidRPr="00844541">
        <w:t>). Lorsqu</w:t>
      </w:r>
      <w:r w:rsidR="002D3B07" w:rsidRPr="00844541">
        <w:t>e, dans la même</w:t>
      </w:r>
      <w:r w:rsidRPr="00844541">
        <w:t xml:space="preserve"> </w:t>
      </w:r>
      <w:r w:rsidR="002D3B07" w:rsidRPr="00844541">
        <w:t xml:space="preserve">communauté religieuse, il y a </w:t>
      </w:r>
      <w:r w:rsidRPr="00844541">
        <w:t xml:space="preserve">des </w:t>
      </w:r>
      <w:r w:rsidR="0090784A" w:rsidRPr="00844541">
        <w:lastRenderedPageBreak/>
        <w:t xml:space="preserve">fidèles </w:t>
      </w:r>
      <w:r w:rsidRPr="00844541">
        <w:t>orthodoxes et gréco-catholiques</w:t>
      </w:r>
      <w:r w:rsidR="0090784A" w:rsidRPr="00844541">
        <w:t>,</w:t>
      </w:r>
      <w:r w:rsidRPr="00844541">
        <w:t xml:space="preserve"> </w:t>
      </w:r>
      <w:r w:rsidR="0090784A" w:rsidRPr="00844541">
        <w:t>se servir du</w:t>
      </w:r>
      <w:r w:rsidRPr="00844541">
        <w:t xml:space="preserve"> critère social de</w:t>
      </w:r>
      <w:r w:rsidR="0090784A" w:rsidRPr="00844541">
        <w:t xml:space="preserve"> </w:t>
      </w:r>
      <w:r w:rsidRPr="00844541">
        <w:t xml:space="preserve">la majorité des </w:t>
      </w:r>
      <w:r w:rsidR="0090784A" w:rsidRPr="00844541">
        <w:t xml:space="preserve">fidèles </w:t>
      </w:r>
      <w:r w:rsidRPr="00844541">
        <w:t xml:space="preserve">pour </w:t>
      </w:r>
      <w:r w:rsidR="00DC267D" w:rsidRPr="00844541">
        <w:t>fixer le sort</w:t>
      </w:r>
      <w:r w:rsidR="00956EFA" w:rsidRPr="00844541">
        <w:t xml:space="preserve"> </w:t>
      </w:r>
      <w:r w:rsidRPr="00844541">
        <w:t xml:space="preserve">du lieu de culte et des maisons paroissiales </w:t>
      </w:r>
      <w:r w:rsidR="0090784A" w:rsidRPr="00844541">
        <w:t xml:space="preserve">est conforme </w:t>
      </w:r>
      <w:r w:rsidRPr="00844541">
        <w:t>au principe démocratique de détermination de l</w:t>
      </w:r>
      <w:r w:rsidR="00844541">
        <w:t>’</w:t>
      </w:r>
      <w:r w:rsidRPr="00844541">
        <w:t xml:space="preserve">utilisation religieuse de ce bien, </w:t>
      </w:r>
      <w:r w:rsidR="002D3B07" w:rsidRPr="00844541">
        <w:t>dès lors que c</w:t>
      </w:r>
      <w:r w:rsidR="00844541">
        <w:t>’</w:t>
      </w:r>
      <w:r w:rsidR="002D3B07" w:rsidRPr="00844541">
        <w:t>est</w:t>
      </w:r>
      <w:r w:rsidRPr="00844541">
        <w:t xml:space="preserve"> la volonté de la majorité de ce</w:t>
      </w:r>
      <w:r w:rsidR="004654DC" w:rsidRPr="00844541">
        <w:t>ux</w:t>
      </w:r>
      <w:r w:rsidRPr="00844541">
        <w:t xml:space="preserve"> qui </w:t>
      </w:r>
      <w:r w:rsidR="003E6244" w:rsidRPr="00844541">
        <w:t>jouissent</w:t>
      </w:r>
      <w:r w:rsidRPr="00844541">
        <w:t xml:space="preserve"> de cette utilisation. Si cela n</w:t>
      </w:r>
      <w:r w:rsidR="00844541">
        <w:t>’</w:t>
      </w:r>
      <w:r w:rsidR="00956EFA" w:rsidRPr="00844541">
        <w:t>était pas le cas, on aboutir</w:t>
      </w:r>
      <w:r w:rsidRPr="00844541">
        <w:t xml:space="preserve">ait, de manière </w:t>
      </w:r>
      <w:r w:rsidR="00956EFA" w:rsidRPr="00844541">
        <w:t>injustifiée</w:t>
      </w:r>
      <w:r w:rsidRPr="00844541">
        <w:t xml:space="preserve">, </w:t>
      </w:r>
      <w:r w:rsidR="0088088F" w:rsidRPr="00844541">
        <w:t xml:space="preserve">à ce </w:t>
      </w:r>
      <w:r w:rsidRPr="00844541">
        <w:t xml:space="preserve">que les </w:t>
      </w:r>
      <w:r w:rsidR="00C45ED9" w:rsidRPr="00844541">
        <w:t xml:space="preserve">fidèles </w:t>
      </w:r>
      <w:r w:rsidRPr="00844541">
        <w:t>orthodoxes majoritaires</w:t>
      </w:r>
      <w:r w:rsidR="00C45ED9" w:rsidRPr="00844541">
        <w:t>, à défaut de passer au culte gréco-catholique,</w:t>
      </w:r>
      <w:r w:rsidRPr="00844541">
        <w:t xml:space="preserve"> </w:t>
      </w:r>
      <w:r w:rsidR="00C45ED9" w:rsidRPr="00844541">
        <w:t xml:space="preserve">fussent </w:t>
      </w:r>
      <w:r w:rsidRPr="00844541">
        <w:t>empêchés</w:t>
      </w:r>
      <w:r w:rsidR="00C45ED9" w:rsidRPr="00844541">
        <w:t>, par une mesure contraire à leur volonté,</w:t>
      </w:r>
      <w:r w:rsidRPr="00844541">
        <w:t xml:space="preserve"> </w:t>
      </w:r>
      <w:r w:rsidR="0088088F" w:rsidRPr="00844541">
        <w:t>de</w:t>
      </w:r>
      <w:r w:rsidRPr="00844541">
        <w:t xml:space="preserve"> pratiquer leur religion.</w:t>
      </w:r>
    </w:p>
    <w:p w:rsidR="00D2687B" w:rsidRPr="00844541" w:rsidRDefault="00D2687B" w:rsidP="00844541">
      <w:pPr>
        <w:pStyle w:val="ECHRParaQuote"/>
      </w:pPr>
      <w:r w:rsidRPr="00844541">
        <w:t xml:space="preserve">Or </w:t>
      </w:r>
      <w:r w:rsidR="0002214A" w:rsidRPr="00844541">
        <w:t>cela</w:t>
      </w:r>
      <w:r w:rsidRPr="00844541">
        <w:t xml:space="preserve"> serait contraire à l</w:t>
      </w:r>
      <w:r w:rsidR="00844541">
        <w:t>’</w:t>
      </w:r>
      <w:r w:rsidRPr="00844541">
        <w:t>article 57 de la Constitution, selon lequel les citoyens doivent exercer leurs droits et libertés avec bonne foi, sans porter atteinte aux droits et libertés d</w:t>
      </w:r>
      <w:r w:rsidR="00844541">
        <w:t>’</w:t>
      </w:r>
      <w:r w:rsidRPr="00844541">
        <w:t>autrui. Si, dans l</w:t>
      </w:r>
      <w:r w:rsidR="00844541">
        <w:t>’</w:t>
      </w:r>
      <w:r w:rsidRPr="00844541">
        <w:t xml:space="preserve">hypothèse de la reconstruction du droit de propriété, abstraction </w:t>
      </w:r>
      <w:r w:rsidR="0088088F" w:rsidRPr="00844541">
        <w:t>était</w:t>
      </w:r>
      <w:r w:rsidR="00956EFA" w:rsidRPr="00844541">
        <w:t xml:space="preserve"> faite </w:t>
      </w:r>
      <w:r w:rsidR="00EC480C" w:rsidRPr="00844541">
        <w:t>du choix</w:t>
      </w:r>
      <w:r w:rsidR="00956EFA" w:rsidRPr="00844541">
        <w:t xml:space="preserve"> de la majorité</w:t>
      </w:r>
      <w:r w:rsidR="0088088F" w:rsidRPr="00844541">
        <w:t>,</w:t>
      </w:r>
      <w:r w:rsidRPr="00844541">
        <w:t xml:space="preserve"> cela porterait atteinte à la bonne foi et au respect des droits d</w:t>
      </w:r>
      <w:r w:rsidR="00844541">
        <w:t>’</w:t>
      </w:r>
      <w:r w:rsidRPr="00844541">
        <w:t>autrui (</w:t>
      </w:r>
      <w:r w:rsidR="00EE1080" w:rsidRPr="00844541">
        <w:t>...</w:t>
      </w:r>
      <w:r w:rsidRPr="00844541">
        <w:t>)</w:t>
      </w:r>
    </w:p>
    <w:p w:rsidR="00803DF3" w:rsidRPr="00844541" w:rsidRDefault="00803DF3" w:rsidP="00844541">
      <w:pPr>
        <w:pStyle w:val="ECHRParaQuote"/>
      </w:pPr>
      <w:r w:rsidRPr="00844541">
        <w:t>Une telle mesure porterait atteinte à l</w:t>
      </w:r>
      <w:r w:rsidR="00844541">
        <w:t>’</w:t>
      </w:r>
      <w:r w:rsidRPr="00844541">
        <w:t>article 29 de la Constitution qui consacre la liberté des cultes religieu</w:t>
      </w:r>
      <w:r w:rsidR="0088088F" w:rsidRPr="00844541">
        <w:t>x</w:t>
      </w:r>
      <w:r w:rsidRPr="00844541">
        <w:t xml:space="preserve"> dans ses deux acceptions</w:t>
      </w:r>
      <w:r w:rsidR="0002214A" w:rsidRPr="00844541">
        <w:t xml:space="preserve"> – </w:t>
      </w:r>
      <w:r w:rsidRPr="00844541">
        <w:t>culte, en tant qu</w:t>
      </w:r>
      <w:r w:rsidR="00844541">
        <w:t>’</w:t>
      </w:r>
      <w:r w:rsidRPr="00844541">
        <w:t>association</w:t>
      </w:r>
      <w:r w:rsidR="0002214A" w:rsidRPr="00844541">
        <w:t xml:space="preserve"> et</w:t>
      </w:r>
      <w:r w:rsidRPr="00844541">
        <w:t xml:space="preserve"> organisation religieuse</w:t>
      </w:r>
      <w:r w:rsidR="0002214A" w:rsidRPr="00844541">
        <w:t>s,</w:t>
      </w:r>
      <w:r w:rsidRPr="00844541">
        <w:t xml:space="preserve"> et </w:t>
      </w:r>
      <w:r w:rsidR="0002214A" w:rsidRPr="00844541">
        <w:t>pratique d</w:t>
      </w:r>
      <w:r w:rsidR="00844541">
        <w:t>’</w:t>
      </w:r>
      <w:r w:rsidR="0002214A" w:rsidRPr="00844541">
        <w:t>un</w:t>
      </w:r>
      <w:r w:rsidRPr="00844541">
        <w:t xml:space="preserve"> rite</w:t>
      </w:r>
      <w:r w:rsidR="0002214A" w:rsidRPr="00844541">
        <w:t>.</w:t>
      </w:r>
      <w:r w:rsidRPr="00844541">
        <w:t xml:space="preserve"> </w:t>
      </w:r>
      <w:r w:rsidR="003D40C2" w:rsidRPr="00844541">
        <w:t>D</w:t>
      </w:r>
      <w:r w:rsidRPr="00844541">
        <w:t>e même</w:t>
      </w:r>
      <w:r w:rsidR="003D40C2" w:rsidRPr="00844541">
        <w:t>, elle</w:t>
      </w:r>
      <w:r w:rsidRPr="00844541">
        <w:t xml:space="preserve"> port</w:t>
      </w:r>
      <w:r w:rsidR="003D40C2" w:rsidRPr="00844541">
        <w:t>erait</w:t>
      </w:r>
      <w:r w:rsidRPr="00844541">
        <w:t xml:space="preserve"> atteinte aux dispositions constitutionnelles régissant les rapports entre les religions (</w:t>
      </w:r>
      <w:r w:rsidR="00EE1080" w:rsidRPr="00844541">
        <w:t>...</w:t>
      </w:r>
      <w:r w:rsidRPr="00844541">
        <w:t>)</w:t>
      </w:r>
      <w:r w:rsidR="003D40C2" w:rsidRPr="00844541">
        <w:t>,</w:t>
      </w:r>
      <w:r w:rsidRPr="00844541">
        <w:t xml:space="preserve"> selon lesquel</w:t>
      </w:r>
      <w:r w:rsidR="003D40C2" w:rsidRPr="00844541">
        <w:t>le</w:t>
      </w:r>
      <w:r w:rsidRPr="00844541">
        <w:t>s « </w:t>
      </w:r>
      <w:r w:rsidR="003D40C2" w:rsidRPr="00844541">
        <w:t>l</w:t>
      </w:r>
      <w:r w:rsidR="003D3CFA" w:rsidRPr="00844541">
        <w:t>a li</w:t>
      </w:r>
      <w:r w:rsidR="00745827" w:rsidRPr="00844541">
        <w:t>berté de conscience est garantie</w:t>
      </w:r>
      <w:r w:rsidR="003D3CFA" w:rsidRPr="00844541">
        <w:t> ; elle doit être exerc</w:t>
      </w:r>
      <w:r w:rsidR="0088088F" w:rsidRPr="00844541">
        <w:t>é</w:t>
      </w:r>
      <w:r w:rsidR="003D3CFA" w:rsidRPr="00844541">
        <w:t>e dans un esprit de tolérance et de respect réciproque »</w:t>
      </w:r>
      <w:r w:rsidR="003D40C2" w:rsidRPr="00844541">
        <w:t>, ainsi qu</w:t>
      </w:r>
      <w:r w:rsidR="00844541">
        <w:t>’</w:t>
      </w:r>
      <w:r w:rsidR="003D40C2" w:rsidRPr="00844541">
        <w:t>à l</w:t>
      </w:r>
      <w:r w:rsidR="00844541">
        <w:t>’</w:t>
      </w:r>
      <w:r w:rsidR="003D40C2" w:rsidRPr="00844541">
        <w:t>alinéa 4 de l</w:t>
      </w:r>
      <w:r w:rsidR="00844541">
        <w:t>’</w:t>
      </w:r>
      <w:r w:rsidR="003D40C2" w:rsidRPr="00844541">
        <w:t>article 29, [selon lequel]</w:t>
      </w:r>
      <w:r w:rsidR="003D3CFA" w:rsidRPr="00844541">
        <w:t xml:space="preserve"> (</w:t>
      </w:r>
      <w:r w:rsidR="00EE1080" w:rsidRPr="00844541">
        <w:t>...</w:t>
      </w:r>
      <w:r w:rsidR="003D3CFA" w:rsidRPr="00844541">
        <w:t>) « </w:t>
      </w:r>
      <w:r w:rsidR="001D4E1D" w:rsidRPr="00844541">
        <w:t>dans les relations entre les cultes sont interdits toutes formes, tous moyens, tous actes et toutes actions de discorde religieuse »</w:t>
      </w:r>
      <w:r w:rsidR="003D40C2" w:rsidRPr="00844541">
        <w:t xml:space="preserve">. En effet, </w:t>
      </w:r>
      <w:r w:rsidR="0088088F" w:rsidRPr="00844541">
        <w:t xml:space="preserve">dans </w:t>
      </w:r>
      <w:r w:rsidR="003D40C2" w:rsidRPr="00844541">
        <w:t xml:space="preserve">de tels </w:t>
      </w:r>
      <w:r w:rsidR="001D4E1D" w:rsidRPr="00844541">
        <w:t>cas,</w:t>
      </w:r>
      <w:r w:rsidR="003D3CFA" w:rsidRPr="00844541">
        <w:t xml:space="preserve"> la majorité se verrait imposer la volonté d</w:t>
      </w:r>
      <w:r w:rsidR="00844541">
        <w:t>’</w:t>
      </w:r>
      <w:r w:rsidR="003D3CFA" w:rsidRPr="00844541">
        <w:t>une minorité. »</w:t>
      </w:r>
    </w:p>
    <w:p w:rsidR="00D06639" w:rsidRPr="00844541" w:rsidRDefault="003620C4" w:rsidP="00844541">
      <w:pPr>
        <w:pStyle w:val="ECHRHeading2"/>
      </w:pPr>
      <w:r w:rsidRPr="00844541">
        <w:t>D</w:t>
      </w:r>
      <w:r w:rsidR="00D06639" w:rsidRPr="00844541">
        <w:t>.</w:t>
      </w:r>
      <w:r w:rsidR="00875B62" w:rsidRPr="00844541">
        <w:t>  </w:t>
      </w:r>
      <w:r w:rsidR="00D06639" w:rsidRPr="00844541">
        <w:t>Le recours dans l</w:t>
      </w:r>
      <w:r w:rsidR="00844541">
        <w:t>’</w:t>
      </w:r>
      <w:r w:rsidR="00D06639" w:rsidRPr="00844541">
        <w:t>intérêt de la loi</w:t>
      </w:r>
    </w:p>
    <w:bookmarkStart w:id="18" w:name="P56"/>
    <w:p w:rsidR="00443CD3" w:rsidRPr="00844541" w:rsidRDefault="00A47A71"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53</w:t>
      </w:r>
      <w:r w:rsidRPr="00844541">
        <w:fldChar w:fldCharType="end"/>
      </w:r>
      <w:r w:rsidRPr="00844541">
        <w:rPr>
          <w:lang w:val="fr-FR"/>
        </w:rPr>
        <w:t>.  </w:t>
      </w:r>
      <w:bookmarkEnd w:id="18"/>
      <w:r w:rsidR="00443CD3" w:rsidRPr="00844541">
        <w:rPr>
          <w:lang w:val="fr-FR"/>
        </w:rPr>
        <w:t>Selon l</w:t>
      </w:r>
      <w:r w:rsidR="00844541">
        <w:rPr>
          <w:lang w:val="fr-FR"/>
        </w:rPr>
        <w:t>’</w:t>
      </w:r>
      <w:r w:rsidR="00443CD3" w:rsidRPr="00844541">
        <w:rPr>
          <w:lang w:val="fr-FR"/>
        </w:rPr>
        <w:t xml:space="preserve">article </w:t>
      </w:r>
      <w:r w:rsidR="00B12892" w:rsidRPr="00844541">
        <w:rPr>
          <w:lang w:val="fr-FR"/>
        </w:rPr>
        <w:t>329 du code de procédure civile et l</w:t>
      </w:r>
      <w:r w:rsidR="00844541">
        <w:rPr>
          <w:lang w:val="fr-FR"/>
        </w:rPr>
        <w:t>’</w:t>
      </w:r>
      <w:r w:rsidR="00B12892" w:rsidRPr="00844541">
        <w:rPr>
          <w:lang w:val="fr-FR"/>
        </w:rPr>
        <w:t xml:space="preserve">article </w:t>
      </w:r>
      <w:r w:rsidR="00DB7CEF" w:rsidRPr="00844541">
        <w:rPr>
          <w:lang w:val="fr-FR"/>
        </w:rPr>
        <w:t>514</w:t>
      </w:r>
      <w:r w:rsidR="00443CD3" w:rsidRPr="00844541">
        <w:rPr>
          <w:lang w:val="fr-FR"/>
        </w:rPr>
        <w:t xml:space="preserve"> du </w:t>
      </w:r>
      <w:r w:rsidR="00B12892" w:rsidRPr="00844541">
        <w:rPr>
          <w:lang w:val="fr-FR"/>
        </w:rPr>
        <w:t xml:space="preserve">nouveau </w:t>
      </w:r>
      <w:r w:rsidR="00443CD3" w:rsidRPr="00844541">
        <w:rPr>
          <w:lang w:val="fr-FR"/>
        </w:rPr>
        <w:t>code de procédure civile</w:t>
      </w:r>
      <w:r w:rsidR="00DB7CEF" w:rsidRPr="00844541">
        <w:rPr>
          <w:lang w:val="fr-FR"/>
        </w:rPr>
        <w:t xml:space="preserve"> en vigueur</w:t>
      </w:r>
      <w:r w:rsidR="00B12892" w:rsidRPr="00844541">
        <w:rPr>
          <w:lang w:val="fr-FR"/>
        </w:rPr>
        <w:t xml:space="preserve"> depuis février 2013</w:t>
      </w:r>
      <w:r w:rsidR="00443CD3" w:rsidRPr="00844541">
        <w:rPr>
          <w:lang w:val="fr-FR"/>
        </w:rPr>
        <w:t>, le procur</w:t>
      </w:r>
      <w:r w:rsidR="003F165E" w:rsidRPr="00844541">
        <w:rPr>
          <w:lang w:val="fr-FR"/>
        </w:rPr>
        <w:t>eur général du parquet près la H</w:t>
      </w:r>
      <w:r w:rsidR="00443CD3" w:rsidRPr="00844541">
        <w:rPr>
          <w:lang w:val="fr-FR"/>
        </w:rPr>
        <w:t>aute Cour, d</w:t>
      </w:r>
      <w:r w:rsidR="00844541">
        <w:rPr>
          <w:lang w:val="fr-FR"/>
        </w:rPr>
        <w:t>’</w:t>
      </w:r>
      <w:r w:rsidR="00443CD3" w:rsidRPr="00844541">
        <w:rPr>
          <w:lang w:val="fr-FR"/>
        </w:rPr>
        <w:t xml:space="preserve">office ou sur demande du ministre de la </w:t>
      </w:r>
      <w:r w:rsidR="0088088F" w:rsidRPr="00844541">
        <w:rPr>
          <w:lang w:val="fr-FR"/>
        </w:rPr>
        <w:t>J</w:t>
      </w:r>
      <w:r w:rsidR="00443CD3" w:rsidRPr="00844541">
        <w:rPr>
          <w:lang w:val="fr-FR"/>
        </w:rPr>
        <w:t>ustice, ainsi que les collèges directeurs des cours d</w:t>
      </w:r>
      <w:r w:rsidR="00844541">
        <w:rPr>
          <w:lang w:val="fr-FR"/>
        </w:rPr>
        <w:t>’</w:t>
      </w:r>
      <w:r w:rsidR="00443CD3" w:rsidRPr="00844541">
        <w:rPr>
          <w:lang w:val="fr-FR"/>
        </w:rPr>
        <w:t>app</w:t>
      </w:r>
      <w:r w:rsidR="003F165E" w:rsidRPr="00844541">
        <w:rPr>
          <w:lang w:val="fr-FR"/>
        </w:rPr>
        <w:t>el</w:t>
      </w:r>
      <w:r w:rsidR="000339DC" w:rsidRPr="00844541">
        <w:rPr>
          <w:lang w:val="fr-FR"/>
        </w:rPr>
        <w:t>,</w:t>
      </w:r>
      <w:r w:rsidR="003F165E" w:rsidRPr="00844541">
        <w:rPr>
          <w:lang w:val="fr-FR"/>
        </w:rPr>
        <w:t xml:space="preserve"> </w:t>
      </w:r>
      <w:r w:rsidR="00B12892" w:rsidRPr="00844541">
        <w:rPr>
          <w:lang w:val="fr-FR"/>
        </w:rPr>
        <w:t>et</w:t>
      </w:r>
      <w:r w:rsidR="00F5546D" w:rsidRPr="00844541">
        <w:rPr>
          <w:lang w:val="fr-FR"/>
        </w:rPr>
        <w:t>,</w:t>
      </w:r>
      <w:r w:rsidR="00B12892" w:rsidRPr="00844541">
        <w:rPr>
          <w:lang w:val="fr-FR"/>
        </w:rPr>
        <w:t xml:space="preserve"> plus récemment, le collège directeur de la Haute Cour et l</w:t>
      </w:r>
      <w:r w:rsidR="00844541">
        <w:rPr>
          <w:lang w:val="fr-FR"/>
        </w:rPr>
        <w:t>’</w:t>
      </w:r>
      <w:r w:rsidR="00F5546D" w:rsidRPr="00844541">
        <w:rPr>
          <w:lang w:val="fr-FR"/>
        </w:rPr>
        <w:t>o</w:t>
      </w:r>
      <w:r w:rsidR="00B12892" w:rsidRPr="00844541">
        <w:rPr>
          <w:lang w:val="fr-FR"/>
        </w:rPr>
        <w:t xml:space="preserve">mbudsman </w:t>
      </w:r>
      <w:r w:rsidR="003F165E" w:rsidRPr="00844541">
        <w:rPr>
          <w:lang w:val="fr-FR"/>
        </w:rPr>
        <w:t>ont le droit de demander à la H</w:t>
      </w:r>
      <w:r w:rsidR="00443CD3" w:rsidRPr="00844541">
        <w:rPr>
          <w:lang w:val="fr-FR"/>
        </w:rPr>
        <w:t xml:space="preserve">aute Cour de se prononcer sur des </w:t>
      </w:r>
      <w:r w:rsidR="004C409C" w:rsidRPr="00844541">
        <w:rPr>
          <w:lang w:val="fr-FR"/>
        </w:rPr>
        <w:t xml:space="preserve">questions de droit </w:t>
      </w:r>
      <w:r w:rsidR="006D1B1B" w:rsidRPr="00844541">
        <w:rPr>
          <w:lang w:val="fr-FR"/>
        </w:rPr>
        <w:t>qui ont été tranché</w:t>
      </w:r>
      <w:r w:rsidR="00B12892" w:rsidRPr="00844541">
        <w:rPr>
          <w:lang w:val="fr-FR"/>
        </w:rPr>
        <w:t>e</w:t>
      </w:r>
      <w:r w:rsidR="006D1B1B" w:rsidRPr="00844541">
        <w:rPr>
          <w:lang w:val="fr-FR"/>
        </w:rPr>
        <w:t xml:space="preserve">s de manière différente par les tribunaux, </w:t>
      </w:r>
      <w:r w:rsidR="00724453" w:rsidRPr="00844541">
        <w:rPr>
          <w:lang w:val="fr-FR"/>
        </w:rPr>
        <w:t>dans le souci d</w:t>
      </w:r>
      <w:r w:rsidR="00844541">
        <w:rPr>
          <w:lang w:val="fr-FR"/>
        </w:rPr>
        <w:t>’</w:t>
      </w:r>
      <w:r w:rsidR="00724453" w:rsidRPr="00844541">
        <w:rPr>
          <w:lang w:val="fr-FR"/>
        </w:rPr>
        <w:t>assurer</w:t>
      </w:r>
      <w:r w:rsidR="006D1B1B" w:rsidRPr="00844541">
        <w:rPr>
          <w:lang w:val="fr-FR"/>
        </w:rPr>
        <w:t xml:space="preserve"> </w:t>
      </w:r>
      <w:r w:rsidR="00EC480C" w:rsidRPr="00844541">
        <w:rPr>
          <w:lang w:val="fr-FR"/>
        </w:rPr>
        <w:t>une</w:t>
      </w:r>
      <w:r w:rsidR="006D1B1B" w:rsidRPr="00844541">
        <w:rPr>
          <w:lang w:val="fr-FR"/>
        </w:rPr>
        <w:t xml:space="preserve"> interprétation et </w:t>
      </w:r>
      <w:r w:rsidR="00EC480C" w:rsidRPr="00844541">
        <w:rPr>
          <w:lang w:val="fr-FR"/>
        </w:rPr>
        <w:t xml:space="preserve">une </w:t>
      </w:r>
      <w:r w:rsidR="006D1B1B" w:rsidRPr="00844541">
        <w:rPr>
          <w:lang w:val="fr-FR"/>
        </w:rPr>
        <w:t>application un</w:t>
      </w:r>
      <w:r w:rsidR="005816F1" w:rsidRPr="00844541">
        <w:rPr>
          <w:lang w:val="fr-FR"/>
        </w:rPr>
        <w:t>iforme</w:t>
      </w:r>
      <w:r w:rsidR="00EC480C" w:rsidRPr="00844541">
        <w:rPr>
          <w:lang w:val="fr-FR"/>
        </w:rPr>
        <w:t>s</w:t>
      </w:r>
      <w:r w:rsidR="005816F1" w:rsidRPr="00844541">
        <w:rPr>
          <w:lang w:val="fr-FR"/>
        </w:rPr>
        <w:t xml:space="preserve"> </w:t>
      </w:r>
      <w:r w:rsidR="006D1B1B" w:rsidRPr="00844541">
        <w:rPr>
          <w:lang w:val="fr-FR"/>
        </w:rPr>
        <w:t>de la loi sur l</w:t>
      </w:r>
      <w:r w:rsidR="00844541">
        <w:rPr>
          <w:lang w:val="fr-FR"/>
        </w:rPr>
        <w:t>’</w:t>
      </w:r>
      <w:r w:rsidR="006D1B1B" w:rsidRPr="00844541">
        <w:rPr>
          <w:lang w:val="fr-FR"/>
        </w:rPr>
        <w:t>ensemble du territoire. Les décisions sont rendues dans l</w:t>
      </w:r>
      <w:r w:rsidR="00844541">
        <w:rPr>
          <w:lang w:val="fr-FR"/>
        </w:rPr>
        <w:t>’</w:t>
      </w:r>
      <w:r w:rsidR="006D1B1B" w:rsidRPr="00844541">
        <w:rPr>
          <w:lang w:val="fr-FR"/>
        </w:rPr>
        <w:t>intérêt de la loi, elles n</w:t>
      </w:r>
      <w:r w:rsidR="00844541">
        <w:rPr>
          <w:lang w:val="fr-FR"/>
        </w:rPr>
        <w:t>’</w:t>
      </w:r>
      <w:r w:rsidR="006D1B1B" w:rsidRPr="00844541">
        <w:rPr>
          <w:lang w:val="fr-FR"/>
        </w:rPr>
        <w:t>ont pas d</w:t>
      </w:r>
      <w:r w:rsidR="00844541">
        <w:rPr>
          <w:lang w:val="fr-FR"/>
        </w:rPr>
        <w:t>’</w:t>
      </w:r>
      <w:r w:rsidR="006D1B1B" w:rsidRPr="00844541">
        <w:rPr>
          <w:lang w:val="fr-FR"/>
        </w:rPr>
        <w:t xml:space="preserve">effet sur les décisions judiciaires examinées ni sur la situation des parties dans la procédure. </w:t>
      </w:r>
      <w:r w:rsidR="00724453" w:rsidRPr="00844541">
        <w:rPr>
          <w:lang w:val="fr-FR"/>
        </w:rPr>
        <w:t>Les tribunaux doivent se plier à l</w:t>
      </w:r>
      <w:r w:rsidR="006D1B1B" w:rsidRPr="00844541">
        <w:rPr>
          <w:lang w:val="fr-FR"/>
        </w:rPr>
        <w:t xml:space="preserve">a solution </w:t>
      </w:r>
      <w:r w:rsidR="00724453" w:rsidRPr="00844541">
        <w:rPr>
          <w:lang w:val="fr-FR"/>
        </w:rPr>
        <w:t>adoptée par la Haute Cour</w:t>
      </w:r>
      <w:r w:rsidR="006D1B1B" w:rsidRPr="00844541">
        <w:rPr>
          <w:lang w:val="fr-FR"/>
        </w:rPr>
        <w:t>.</w:t>
      </w:r>
    </w:p>
    <w:p w:rsidR="007443CA" w:rsidRPr="00844541" w:rsidRDefault="007443CA" w:rsidP="00844541">
      <w:pPr>
        <w:pStyle w:val="ECHRHeading1"/>
        <w:keepNext w:val="0"/>
        <w:keepLines w:val="0"/>
      </w:pPr>
      <w:r w:rsidRPr="00844541">
        <w:t>III.  </w:t>
      </w:r>
      <w:r w:rsidR="00A47A71" w:rsidRPr="00844541">
        <w:t xml:space="preserve">LES </w:t>
      </w:r>
      <w:r w:rsidRPr="00844541">
        <w:t>RAPPORT</w:t>
      </w:r>
      <w:r w:rsidR="00A47A71" w:rsidRPr="00844541">
        <w:t>S</w:t>
      </w:r>
      <w:r w:rsidRPr="00844541">
        <w:t xml:space="preserve"> DU CONSEIL DE L</w:t>
      </w:r>
      <w:r w:rsidR="00844541">
        <w:t>’</w:t>
      </w:r>
      <w:r w:rsidRPr="00844541">
        <w:t>EUROPE RELATIF</w:t>
      </w:r>
      <w:r w:rsidR="00A47A71" w:rsidRPr="00844541">
        <w:t>S</w:t>
      </w:r>
      <w:r w:rsidRPr="00844541">
        <w:t xml:space="preserve"> À LA ROUMANIE</w:t>
      </w:r>
    </w:p>
    <w:p w:rsidR="00934015"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54</w:t>
      </w:r>
      <w:r w:rsidRPr="00844541">
        <w:rPr>
          <w:noProof/>
        </w:rPr>
        <w:fldChar w:fldCharType="end"/>
      </w:r>
      <w:r w:rsidR="00DC4D14" w:rsidRPr="00844541">
        <w:rPr>
          <w:lang w:val="fr-FR"/>
        </w:rPr>
        <w:t>.  </w:t>
      </w:r>
      <w:r w:rsidR="00934015" w:rsidRPr="00844541">
        <w:rPr>
          <w:lang w:val="fr-FR"/>
        </w:rPr>
        <w:t xml:space="preserve">Le </w:t>
      </w:r>
      <w:r w:rsidR="00DC4D14" w:rsidRPr="00844541">
        <w:rPr>
          <w:lang w:val="fr-FR"/>
        </w:rPr>
        <w:t>t</w:t>
      </w:r>
      <w:r w:rsidR="00934015" w:rsidRPr="00844541">
        <w:rPr>
          <w:lang w:val="fr-FR"/>
        </w:rPr>
        <w:t>roisième rapport sur la Roumanie de la Commission européenne contre le racisme et l</w:t>
      </w:r>
      <w:r w:rsidR="00844541">
        <w:rPr>
          <w:lang w:val="fr-FR"/>
        </w:rPr>
        <w:t>’</w:t>
      </w:r>
      <w:r w:rsidR="00934015" w:rsidRPr="00844541">
        <w:rPr>
          <w:lang w:val="fr-FR"/>
        </w:rPr>
        <w:t>intolérance</w:t>
      </w:r>
      <w:r w:rsidR="00994418" w:rsidRPr="00844541">
        <w:rPr>
          <w:lang w:val="fr-FR"/>
        </w:rPr>
        <w:t xml:space="preserve"> (« l</w:t>
      </w:r>
      <w:r w:rsidR="00844541">
        <w:rPr>
          <w:lang w:val="fr-FR"/>
        </w:rPr>
        <w:t>’</w:t>
      </w:r>
      <w:r w:rsidR="00994418" w:rsidRPr="00844541">
        <w:rPr>
          <w:lang w:val="fr-FR"/>
        </w:rPr>
        <w:t>ECRI »)</w:t>
      </w:r>
      <w:r w:rsidR="00934015" w:rsidRPr="00844541">
        <w:rPr>
          <w:lang w:val="fr-FR"/>
        </w:rPr>
        <w:t>, adopté le 24 juin 2005 et publié le 21</w:t>
      </w:r>
      <w:r w:rsidR="00DC4D14" w:rsidRPr="00844541">
        <w:rPr>
          <w:lang w:val="fr-FR"/>
        </w:rPr>
        <w:t> </w:t>
      </w:r>
      <w:r w:rsidR="00934015" w:rsidRPr="00844541">
        <w:rPr>
          <w:lang w:val="fr-FR"/>
        </w:rPr>
        <w:t>février 2006</w:t>
      </w:r>
      <w:r w:rsidR="00195330" w:rsidRPr="00844541">
        <w:rPr>
          <w:lang w:val="fr-FR"/>
        </w:rPr>
        <w:t>,</w:t>
      </w:r>
      <w:r w:rsidR="00934015" w:rsidRPr="00844541">
        <w:rPr>
          <w:lang w:val="fr-FR"/>
        </w:rPr>
        <w:t xml:space="preserve"> mentionne ce qui suit :</w:t>
      </w:r>
    </w:p>
    <w:p w:rsidR="00934015" w:rsidRPr="00844541" w:rsidRDefault="00934015" w:rsidP="00844541">
      <w:pPr>
        <w:pStyle w:val="ECHRParaQuote"/>
      </w:pPr>
      <w:r w:rsidRPr="00844541">
        <w:t>« Législation sur les cultes religieux</w:t>
      </w:r>
    </w:p>
    <w:p w:rsidR="00934015" w:rsidRPr="00844541" w:rsidRDefault="00934015" w:rsidP="00844541">
      <w:pPr>
        <w:pStyle w:val="ECHRParaQuote"/>
      </w:pPr>
      <w:r w:rsidRPr="00844541">
        <w:t>(</w:t>
      </w:r>
      <w:r w:rsidR="00EE1080" w:rsidRPr="00844541">
        <w:t>...</w:t>
      </w:r>
      <w:r w:rsidRPr="00844541">
        <w:t>)</w:t>
      </w:r>
    </w:p>
    <w:p w:rsidR="00934015" w:rsidRPr="00844541" w:rsidRDefault="00994418" w:rsidP="00844541">
      <w:pPr>
        <w:pStyle w:val="ECHRParaQuote"/>
      </w:pPr>
      <w:r w:rsidRPr="00844541">
        <w:lastRenderedPageBreak/>
        <w:t>15.</w:t>
      </w:r>
      <w:r w:rsidR="00CD0596" w:rsidRPr="00844541">
        <w:t>  </w:t>
      </w:r>
      <w:r w:rsidR="00934015" w:rsidRPr="00844541">
        <w:t>L</w:t>
      </w:r>
      <w:r w:rsidR="00844541">
        <w:t>’</w:t>
      </w:r>
      <w:r w:rsidR="00934015" w:rsidRPr="00844541">
        <w:t>ECRI note avec inquiétude les informations selon lesquelles, bien qu</w:t>
      </w:r>
      <w:r w:rsidR="00844541">
        <w:t>’</w:t>
      </w:r>
      <w:r w:rsidR="00934015" w:rsidRPr="00844541">
        <w:t>elle n</w:t>
      </w:r>
      <w:r w:rsidR="00844541">
        <w:t>’</w:t>
      </w:r>
      <w:r w:rsidR="00934015" w:rsidRPr="00844541">
        <w:t>ait pas le statut de religion d</w:t>
      </w:r>
      <w:r w:rsidR="00844541">
        <w:t>’</w:t>
      </w:r>
      <w:r w:rsidR="00CC104A" w:rsidRPr="00844541">
        <w:t>État</w:t>
      </w:r>
      <w:r w:rsidR="00934015" w:rsidRPr="00844541">
        <w:t>, l</w:t>
      </w:r>
      <w:r w:rsidR="00844541">
        <w:t>’</w:t>
      </w:r>
      <w:r w:rsidR="00CC104A" w:rsidRPr="00844541">
        <w:t>Église</w:t>
      </w:r>
      <w:r w:rsidR="00934015" w:rsidRPr="00844541">
        <w:t xml:space="preserve"> orthodoxe, qui est la religion majoritaire en Roumanie, occuperait une place dominante dans la société roumaine. Ainsi, les autres religions estiment que cette église exerce une trop grande influence sur la politique des autorités. Elle recevrait également des avantages que les autres religions n</w:t>
      </w:r>
      <w:r w:rsidR="00844541">
        <w:t>’</w:t>
      </w:r>
      <w:r w:rsidR="00934015" w:rsidRPr="00844541">
        <w:t>ont pas, tels que des chapelles dans les centres pénitentiaires et carcéra</w:t>
      </w:r>
      <w:r w:rsidR="00F13E0A" w:rsidRPr="00844541">
        <w:t>ux</w:t>
      </w:r>
      <w:r w:rsidR="00934015" w:rsidRPr="00844541">
        <w:t>. Cette église aurait en outre une influence importante sur les décisions du gouvernement concernant des questions telles que l</w:t>
      </w:r>
      <w:r w:rsidR="00844541">
        <w:t>’</w:t>
      </w:r>
      <w:r w:rsidR="00934015" w:rsidRPr="00844541">
        <w:t>attribution du statut de culte religieux à des associations religieuses. L</w:t>
      </w:r>
      <w:r w:rsidR="00844541">
        <w:t>’</w:t>
      </w:r>
      <w:r w:rsidR="00934015" w:rsidRPr="00844541">
        <w:t>ECRI note également qu</w:t>
      </w:r>
      <w:r w:rsidR="00844541">
        <w:t>’</w:t>
      </w:r>
      <w:r w:rsidR="00934015" w:rsidRPr="00844541">
        <w:t>étant donné le nombre et la diversité des cultes officiellement reconnus et pratiqués en Roumanie, le dialogue interreligieux entre l</w:t>
      </w:r>
      <w:r w:rsidR="00844541">
        <w:t>’</w:t>
      </w:r>
      <w:r w:rsidR="00CC104A" w:rsidRPr="00844541">
        <w:t>Église</w:t>
      </w:r>
      <w:r w:rsidR="00934015" w:rsidRPr="00844541">
        <w:t xml:space="preserve"> orthodoxe et les autres dénominations religieuses pourrait être amélioré. En particulier, le dialogue entre cette </w:t>
      </w:r>
      <w:r w:rsidR="00CC104A" w:rsidRPr="00844541">
        <w:t>Église</w:t>
      </w:r>
      <w:r w:rsidR="00934015" w:rsidRPr="00844541">
        <w:t xml:space="preserve"> et l</w:t>
      </w:r>
      <w:r w:rsidR="00844541">
        <w:t>’</w:t>
      </w:r>
      <w:r w:rsidR="00CC104A" w:rsidRPr="00844541">
        <w:t>Église</w:t>
      </w:r>
      <w:r w:rsidR="00934015" w:rsidRPr="00844541">
        <w:t xml:space="preserve"> gréco-catholique ne serait pas près d</w:t>
      </w:r>
      <w:r w:rsidR="00844541">
        <w:t>’</w:t>
      </w:r>
      <w:r w:rsidR="00934015" w:rsidRPr="00844541">
        <w:t>aboutir, en raison principalement de la manière dont les autorités gèrent la question de la restitution des biens confisqués pendant la période communiste.</w:t>
      </w:r>
    </w:p>
    <w:p w:rsidR="00934015" w:rsidRPr="00844541" w:rsidRDefault="00934015" w:rsidP="00844541">
      <w:pPr>
        <w:pStyle w:val="ECHRParaQuote"/>
      </w:pPr>
      <w:r w:rsidRPr="00844541">
        <w:t>16.</w:t>
      </w:r>
      <w:r w:rsidR="00CD0596" w:rsidRPr="00844541">
        <w:t>  </w:t>
      </w:r>
      <w:r w:rsidRPr="00844541">
        <w:t>L</w:t>
      </w:r>
      <w:r w:rsidR="00844541">
        <w:t>’</w:t>
      </w:r>
      <w:r w:rsidRPr="00844541">
        <w:t>ECRI note également avec inquiétude les informations selon lesquelles des membres de l</w:t>
      </w:r>
      <w:r w:rsidR="00844541">
        <w:t>’</w:t>
      </w:r>
      <w:r w:rsidR="00CC104A" w:rsidRPr="00844541">
        <w:t>Église</w:t>
      </w:r>
      <w:r w:rsidRPr="00844541">
        <w:t xml:space="preserve"> orthodoxe se livraient à des actes de harcèlement en tout genre envers des adeptes de l</w:t>
      </w:r>
      <w:r w:rsidR="00844541">
        <w:t>’</w:t>
      </w:r>
      <w:r w:rsidR="00CC104A" w:rsidRPr="00844541">
        <w:t>Église</w:t>
      </w:r>
      <w:r w:rsidRPr="00844541">
        <w:t xml:space="preserve"> gréco-catholique non sans une certaine complaisance des autorités.</w:t>
      </w:r>
    </w:p>
    <w:p w:rsidR="00934015" w:rsidRPr="00844541" w:rsidRDefault="00934015" w:rsidP="00844541">
      <w:pPr>
        <w:pStyle w:val="ECHRParaQuote"/>
      </w:pPr>
      <w:r w:rsidRPr="00844541">
        <w:t>(</w:t>
      </w:r>
      <w:r w:rsidR="00EE1080" w:rsidRPr="00844541">
        <w:t>...</w:t>
      </w:r>
      <w:r w:rsidRPr="00844541">
        <w:t>)</w:t>
      </w:r>
    </w:p>
    <w:p w:rsidR="00934015" w:rsidRPr="00844541" w:rsidRDefault="00934015" w:rsidP="00844541">
      <w:pPr>
        <w:pStyle w:val="ECHRParaQuote"/>
      </w:pPr>
      <w:r w:rsidRPr="00844541">
        <w:t>45.</w:t>
      </w:r>
      <w:r w:rsidR="00CD0596" w:rsidRPr="00844541">
        <w:t>  </w:t>
      </w:r>
      <w:r w:rsidRPr="00844541">
        <w:t>L</w:t>
      </w:r>
      <w:r w:rsidR="00844541">
        <w:t>’</w:t>
      </w:r>
      <w:r w:rsidRPr="00844541">
        <w:t>ECRI note avec inquiétude que la restitution des églises ayant appartenu à l</w:t>
      </w:r>
      <w:r w:rsidR="00844541">
        <w:t>’</w:t>
      </w:r>
      <w:r w:rsidR="00CC104A" w:rsidRPr="00844541">
        <w:t>Église</w:t>
      </w:r>
      <w:r w:rsidRPr="00844541">
        <w:t xml:space="preserve"> gréco-catholique est devenue une source de tensions entre celle-ci et l</w:t>
      </w:r>
      <w:r w:rsidR="00844541">
        <w:t>’</w:t>
      </w:r>
      <w:r w:rsidR="00CC104A" w:rsidRPr="00844541">
        <w:t>Église</w:t>
      </w:r>
      <w:r w:rsidRPr="00844541">
        <w:t xml:space="preserve"> orthodoxe. Bien qu</w:t>
      </w:r>
      <w:r w:rsidR="00844541">
        <w:t>’</w:t>
      </w:r>
      <w:r w:rsidRPr="00844541">
        <w:t>il y ait eu des tentatives d</w:t>
      </w:r>
      <w:r w:rsidR="00844541">
        <w:t>’</w:t>
      </w:r>
      <w:r w:rsidRPr="00844541">
        <w:t>aboutir à un accord à l</w:t>
      </w:r>
      <w:r w:rsidR="00844541">
        <w:t>’</w:t>
      </w:r>
      <w:r w:rsidRPr="00844541">
        <w:t>amiable, l</w:t>
      </w:r>
      <w:r w:rsidR="00844541">
        <w:t>’</w:t>
      </w:r>
      <w:r w:rsidR="00CC104A" w:rsidRPr="00844541">
        <w:t>Église</w:t>
      </w:r>
      <w:r w:rsidRPr="00844541">
        <w:t xml:space="preserve"> orthodoxe refuse de rendre ces églises à l</w:t>
      </w:r>
      <w:r w:rsidR="00844541">
        <w:t>’</w:t>
      </w:r>
      <w:r w:rsidR="00CC104A" w:rsidRPr="00844541">
        <w:t>Église</w:t>
      </w:r>
      <w:r w:rsidRPr="00844541">
        <w:t xml:space="preserve"> gréco-catholique, et les autorités ne semblent pas agir pour faire appliquer la loi. L</w:t>
      </w:r>
      <w:r w:rsidR="00844541">
        <w:t>’</w:t>
      </w:r>
      <w:r w:rsidRPr="00844541">
        <w:t>ECRI espère donc que les autorités s</w:t>
      </w:r>
      <w:r w:rsidR="00844541">
        <w:t>’</w:t>
      </w:r>
      <w:r w:rsidRPr="00844541">
        <w:t>engageront plus activement dans la résolution des questions relatives à la restitution des églises gréco-catholiques afin que la loi soit appliquée équitablement, dans un esprit de tolérance et de respect mutuel</w:t>
      </w:r>
      <w:r w:rsidR="00D27215" w:rsidRPr="00844541">
        <w:t xml:space="preserve"> (</w:t>
      </w:r>
      <w:r w:rsidR="00EE1080" w:rsidRPr="00844541">
        <w:t>...</w:t>
      </w:r>
      <w:r w:rsidR="00D27215" w:rsidRPr="00844541">
        <w:t>) »</w:t>
      </w:r>
    </w:p>
    <w:p w:rsidR="00803BD6"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55</w:t>
      </w:r>
      <w:r w:rsidRPr="00844541">
        <w:rPr>
          <w:noProof/>
        </w:rPr>
        <w:fldChar w:fldCharType="end"/>
      </w:r>
      <w:r w:rsidR="00283254" w:rsidRPr="00844541">
        <w:rPr>
          <w:lang w:val="fr-FR"/>
        </w:rPr>
        <w:t>.  </w:t>
      </w:r>
      <w:r w:rsidR="00803BD6" w:rsidRPr="00844541">
        <w:rPr>
          <w:lang w:val="fr-FR"/>
        </w:rPr>
        <w:t>Le quatrième rapport sur la Roumanie de l</w:t>
      </w:r>
      <w:r w:rsidR="00844541">
        <w:rPr>
          <w:lang w:val="fr-FR"/>
        </w:rPr>
        <w:t>’</w:t>
      </w:r>
      <w:r w:rsidR="00803BD6" w:rsidRPr="00844541">
        <w:rPr>
          <w:lang w:val="fr-FR"/>
        </w:rPr>
        <w:t xml:space="preserve">ECRI, adopté le </w:t>
      </w:r>
      <w:r w:rsidR="00645BCB" w:rsidRPr="00844541">
        <w:rPr>
          <w:lang w:val="fr-FR"/>
        </w:rPr>
        <w:t>19 mars 2014</w:t>
      </w:r>
      <w:r w:rsidR="00803BD6" w:rsidRPr="00844541">
        <w:rPr>
          <w:lang w:val="fr-FR"/>
        </w:rPr>
        <w:t xml:space="preserve"> et publié le </w:t>
      </w:r>
      <w:r w:rsidR="00645BCB" w:rsidRPr="00844541">
        <w:rPr>
          <w:lang w:val="fr-FR"/>
        </w:rPr>
        <w:t>3 juin 2014</w:t>
      </w:r>
      <w:r w:rsidR="00803BD6" w:rsidRPr="00844541">
        <w:rPr>
          <w:lang w:val="fr-FR"/>
        </w:rPr>
        <w:t xml:space="preserve"> mentionne ce qui suit :</w:t>
      </w:r>
    </w:p>
    <w:p w:rsidR="00B43D08" w:rsidRPr="00844541" w:rsidRDefault="00300C82" w:rsidP="00844541">
      <w:pPr>
        <w:pStyle w:val="ECHRParaQuote"/>
      </w:pPr>
      <w:r w:rsidRPr="00844541">
        <w:t>« 22.</w:t>
      </w:r>
      <w:r w:rsidR="00CD0596" w:rsidRPr="00844541">
        <w:t>  </w:t>
      </w:r>
      <w:r w:rsidR="00803BD6" w:rsidRPr="00844541">
        <w:t>Dans son troisième rapport, l</w:t>
      </w:r>
      <w:r w:rsidR="00844541">
        <w:t>’</w:t>
      </w:r>
      <w:r w:rsidR="00803BD6" w:rsidRPr="00844541">
        <w:t>ECRI recommandait aux autorités roumaines de faire appliquer la loi sur la restitution des biens, et d</w:t>
      </w:r>
      <w:r w:rsidR="00844541">
        <w:t>’</w:t>
      </w:r>
      <w:r w:rsidR="00803BD6" w:rsidRPr="00844541">
        <w:t>inciter les confessions religieuses, particulièrement l</w:t>
      </w:r>
      <w:r w:rsidR="00844541">
        <w:t>’</w:t>
      </w:r>
      <w:r w:rsidR="00683849" w:rsidRPr="00844541">
        <w:t>Église</w:t>
      </w:r>
      <w:r w:rsidR="00803BD6" w:rsidRPr="00844541">
        <w:t xml:space="preserve"> orthodoxe et les minorités religieuses, à ouvrir un dialogue constructif sur cette question. Elle leur recommandait aussi d</w:t>
      </w:r>
      <w:r w:rsidR="00844541">
        <w:t>’</w:t>
      </w:r>
      <w:r w:rsidR="00803BD6" w:rsidRPr="00844541">
        <w:t>établir des mécanismes de médiation, de tenir des colloques et des séminaires interreligieux, et de mener des campagnes d</w:t>
      </w:r>
      <w:r w:rsidR="00844541">
        <w:t>’</w:t>
      </w:r>
      <w:r w:rsidR="00803BD6" w:rsidRPr="00844541">
        <w:t>information visant à promouvoir l</w:t>
      </w:r>
      <w:r w:rsidR="00844541">
        <w:t>’</w:t>
      </w:r>
      <w:r w:rsidR="00803BD6" w:rsidRPr="00844541">
        <w:t>idée d</w:t>
      </w:r>
      <w:r w:rsidR="00844541">
        <w:t>’</w:t>
      </w:r>
      <w:r w:rsidR="00803BD6" w:rsidRPr="00844541">
        <w:t>une société multiconfessionnelle.</w:t>
      </w:r>
    </w:p>
    <w:p w:rsidR="00B43D08" w:rsidRPr="00844541" w:rsidRDefault="00803BD6" w:rsidP="00844541">
      <w:pPr>
        <w:pStyle w:val="ECHRParaQuote"/>
      </w:pPr>
      <w:r w:rsidRPr="00844541">
        <w:t>23.</w:t>
      </w:r>
      <w:r w:rsidR="00CD0596" w:rsidRPr="00844541">
        <w:t>  </w:t>
      </w:r>
      <w:r w:rsidRPr="00844541">
        <w:t>Les autorités ont confirmé que le contentieux sur cette question des biens a suscité des tensions entre l</w:t>
      </w:r>
      <w:r w:rsidR="00844541">
        <w:t>’</w:t>
      </w:r>
      <w:r w:rsidR="00683849" w:rsidRPr="00844541">
        <w:t>Église</w:t>
      </w:r>
      <w:r w:rsidRPr="00844541">
        <w:t xml:space="preserve"> orthodoxe et l</w:t>
      </w:r>
      <w:r w:rsidR="00844541">
        <w:t>’</w:t>
      </w:r>
      <w:r w:rsidR="00683849" w:rsidRPr="00844541">
        <w:t>Église</w:t>
      </w:r>
      <w:r w:rsidRPr="00844541">
        <w:t xml:space="preserve"> catholique grecque. D</w:t>
      </w:r>
      <w:r w:rsidR="00844541">
        <w:t>’</w:t>
      </w:r>
      <w:r w:rsidRPr="00844541">
        <w:t>une manière générale, l</w:t>
      </w:r>
      <w:r w:rsidR="00844541">
        <w:t>’</w:t>
      </w:r>
      <w:r w:rsidR="00683849" w:rsidRPr="00844541">
        <w:t>Église</w:t>
      </w:r>
      <w:r w:rsidRPr="00844541">
        <w:t xml:space="preserve"> orthodoxe n</w:t>
      </w:r>
      <w:r w:rsidR="00844541">
        <w:t>’</w:t>
      </w:r>
      <w:r w:rsidRPr="00844541">
        <w:t>a guère montré d</w:t>
      </w:r>
      <w:r w:rsidR="00844541">
        <w:t>’</w:t>
      </w:r>
      <w:r w:rsidRPr="00844541">
        <w:t>empressement à restituer les églises catholiques grecques reçues en 1948 par l</w:t>
      </w:r>
      <w:r w:rsidR="00844541">
        <w:t>’</w:t>
      </w:r>
      <w:r w:rsidR="00683849" w:rsidRPr="00844541">
        <w:t>État</w:t>
      </w:r>
      <w:r w:rsidRPr="00844541">
        <w:t>, et s</w:t>
      </w:r>
      <w:r w:rsidR="00844541">
        <w:t>’</w:t>
      </w:r>
      <w:r w:rsidRPr="00844541">
        <w:t>est même fréquemment refusée à le faire.</w:t>
      </w:r>
    </w:p>
    <w:p w:rsidR="002111FF" w:rsidRPr="00844541" w:rsidRDefault="00803BD6" w:rsidP="00844541">
      <w:pPr>
        <w:pStyle w:val="ECHRParaQuote"/>
      </w:pPr>
      <w:r w:rsidRPr="00844541">
        <w:t>24.</w:t>
      </w:r>
      <w:r w:rsidR="00CD0596" w:rsidRPr="00844541">
        <w:t>  </w:t>
      </w:r>
      <w:r w:rsidRPr="00844541">
        <w:t xml:space="preserve">Une commission mixte formée de représentants du clergé des deux </w:t>
      </w:r>
      <w:r w:rsidR="00683849" w:rsidRPr="00844541">
        <w:t>Églises</w:t>
      </w:r>
      <w:r w:rsidRPr="00844541">
        <w:t xml:space="preserve"> a été créée en 1999 pour régler ces questions de propriété ; son travail ne semble toutefois pas avoir donné de résultats notables. L</w:t>
      </w:r>
      <w:r w:rsidR="00844541">
        <w:t>’</w:t>
      </w:r>
      <w:r w:rsidRPr="00844541">
        <w:t>Autorité nationale pour la restitution des biens a fait savoir à l</w:t>
      </w:r>
      <w:r w:rsidR="00844541">
        <w:t>’</w:t>
      </w:r>
      <w:r w:rsidRPr="00844541">
        <w:t>ECRI que sur 6</w:t>
      </w:r>
      <w:r w:rsidR="00A07FE9" w:rsidRPr="00844541">
        <w:t> </w:t>
      </w:r>
      <w:r w:rsidRPr="00844541">
        <w:t>723 demandes de restitution, 1</w:t>
      </w:r>
      <w:r w:rsidR="00A07FE9" w:rsidRPr="00844541">
        <w:t> </w:t>
      </w:r>
      <w:r w:rsidRPr="00844541">
        <w:t>110 ont été instruites depuis 2005.</w:t>
      </w:r>
      <w:r w:rsidR="00431DBB" w:rsidRPr="00844541">
        <w:t xml:space="preserve"> (</w:t>
      </w:r>
      <w:r w:rsidR="00EE1080" w:rsidRPr="00844541">
        <w:t>...</w:t>
      </w:r>
      <w:r w:rsidR="00431DBB" w:rsidRPr="00844541">
        <w:t>)</w:t>
      </w:r>
      <w:r w:rsidR="00F731FE" w:rsidRPr="00844541">
        <w:t>. Un conseil consultatif des églises et cultes a été créé au mois d</w:t>
      </w:r>
      <w:r w:rsidR="00844541">
        <w:t>’</w:t>
      </w:r>
      <w:r w:rsidR="00F731FE" w:rsidRPr="00844541">
        <w:t>avril 2011 pour promouvoir la solidarité et la coopération, et prévenir les conflits entre les religions de Roumanie ; il se réunit jusqu</w:t>
      </w:r>
      <w:r w:rsidR="00844541">
        <w:t>’</w:t>
      </w:r>
      <w:r w:rsidR="00F731FE" w:rsidRPr="00844541">
        <w:t>à deux fois par an. L</w:t>
      </w:r>
      <w:r w:rsidR="00844541">
        <w:t>’</w:t>
      </w:r>
      <w:r w:rsidR="00F731FE" w:rsidRPr="00844541">
        <w:t xml:space="preserve">ECRI </w:t>
      </w:r>
      <w:r w:rsidR="00F731FE" w:rsidRPr="00844541">
        <w:lastRenderedPageBreak/>
        <w:t>se félicite des efforts évoqués ci-dessus, et invite les autorités à jouer un rôle de chef de file dans le règlement de litiges liés, il faut le rappeler, à la confiscation de biens par l</w:t>
      </w:r>
      <w:r w:rsidR="00844541">
        <w:t>’</w:t>
      </w:r>
      <w:r w:rsidR="00683849" w:rsidRPr="00844541">
        <w:t>État</w:t>
      </w:r>
      <w:r w:rsidR="00F731FE" w:rsidRPr="00844541">
        <w:t xml:space="preserve">. </w:t>
      </w:r>
      <w:r w:rsidR="00300C82" w:rsidRPr="00844541">
        <w:t> »</w:t>
      </w:r>
    </w:p>
    <w:p w:rsidR="008300A7" w:rsidRPr="00844541" w:rsidRDefault="004C1AE4" w:rsidP="00844541">
      <w:pPr>
        <w:pStyle w:val="ECHRPara"/>
        <w:rPr>
          <w:rFonts w:ascii="Times New Roman" w:hAnsi="Times New Roman" w:cs="Times New Roman"/>
          <w:szCs w:val="24"/>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56</w:t>
      </w:r>
      <w:r w:rsidRPr="00844541">
        <w:rPr>
          <w:noProof/>
        </w:rPr>
        <w:fldChar w:fldCharType="end"/>
      </w:r>
      <w:r w:rsidR="004B16FC" w:rsidRPr="00844541">
        <w:rPr>
          <w:lang w:val="fr-FR"/>
        </w:rPr>
        <w:t>.  </w:t>
      </w:r>
      <w:r w:rsidR="008300A7" w:rsidRPr="00844541">
        <w:rPr>
          <w:lang w:val="fr-FR"/>
        </w:rPr>
        <w:t xml:space="preserve">La réponse du </w:t>
      </w:r>
      <w:r w:rsidR="00A07FE9" w:rsidRPr="00844541">
        <w:rPr>
          <w:lang w:val="fr-FR"/>
        </w:rPr>
        <w:t>g</w:t>
      </w:r>
      <w:r w:rsidR="008300A7" w:rsidRPr="00844541">
        <w:rPr>
          <w:lang w:val="fr-FR"/>
        </w:rPr>
        <w:t>ouvernement roumain au</w:t>
      </w:r>
      <w:r w:rsidR="00C1220B" w:rsidRPr="00844541">
        <w:rPr>
          <w:lang w:val="fr-FR"/>
        </w:rPr>
        <w:t xml:space="preserve"> quatrième</w:t>
      </w:r>
      <w:r w:rsidR="008300A7" w:rsidRPr="00844541">
        <w:rPr>
          <w:lang w:val="fr-FR"/>
        </w:rPr>
        <w:t xml:space="preserve"> rapport de l</w:t>
      </w:r>
      <w:r w:rsidR="00844541">
        <w:rPr>
          <w:lang w:val="fr-FR"/>
        </w:rPr>
        <w:t>’</w:t>
      </w:r>
      <w:r w:rsidR="008300A7" w:rsidRPr="00844541">
        <w:rPr>
          <w:lang w:val="fr-FR"/>
        </w:rPr>
        <w:t>ECRI est ainsi rédigée</w:t>
      </w:r>
      <w:r w:rsidR="00C1220B" w:rsidRPr="00844541">
        <w:rPr>
          <w:lang w:val="fr-FR"/>
        </w:rPr>
        <w:t xml:space="preserve"> dans sa partie pertinente pour l</w:t>
      </w:r>
      <w:r w:rsidR="00844541">
        <w:rPr>
          <w:lang w:val="fr-FR"/>
        </w:rPr>
        <w:t>’</w:t>
      </w:r>
      <w:r w:rsidR="00C1220B" w:rsidRPr="00844541">
        <w:rPr>
          <w:lang w:val="fr-FR"/>
        </w:rPr>
        <w:t>affaire</w:t>
      </w:r>
      <w:r w:rsidR="00705EFC" w:rsidRPr="00844541">
        <w:rPr>
          <w:lang w:val="fr-FR"/>
        </w:rPr>
        <w:t xml:space="preserve"> (</w:t>
      </w:r>
      <w:r w:rsidR="00705EFC" w:rsidRPr="00844541">
        <w:rPr>
          <w:rFonts w:ascii="Times New Roman" w:hAnsi="Times New Roman" w:cs="Times New Roman"/>
          <w:szCs w:val="24"/>
          <w:lang w:val="fr-FR"/>
        </w:rPr>
        <w:t>traduction du greffe de la Cour)</w:t>
      </w:r>
      <w:r w:rsidR="008300A7" w:rsidRPr="00844541">
        <w:rPr>
          <w:lang w:val="fr-FR"/>
        </w:rPr>
        <w:t> :</w:t>
      </w:r>
    </w:p>
    <w:p w:rsidR="00705EFC" w:rsidRPr="00844541" w:rsidRDefault="00705EFC" w:rsidP="00844541">
      <w:pPr>
        <w:pStyle w:val="ECHRParaQuote"/>
      </w:pPr>
      <w:r w:rsidRPr="00844541">
        <w:t>« En ce qui concerne les paragraphes 22 à 25, le secrétariat d</w:t>
      </w:r>
      <w:r w:rsidR="00844541">
        <w:t>’</w:t>
      </w:r>
      <w:r w:rsidRPr="00844541">
        <w:t>État aux cultes a constamment cherché à recourir à la médiation pour apaiser les tensions entre l</w:t>
      </w:r>
      <w:r w:rsidR="00844541">
        <w:t>’</w:t>
      </w:r>
      <w:r w:rsidRPr="00844541">
        <w:t>Église orthodoxe roumaine et l</w:t>
      </w:r>
      <w:r w:rsidR="00844541">
        <w:t>’</w:t>
      </w:r>
      <w:r w:rsidRPr="00844541">
        <w:t>Église roumaine unie à Rome (gréco-catholique) et a joué un rôle actif dans la recherche de solutions satisfaisantes pour les deux parties dans leur litige patrimonial ; le secrétariat d</w:t>
      </w:r>
      <w:r w:rsidR="00844541">
        <w:t>’</w:t>
      </w:r>
      <w:r w:rsidRPr="00844541">
        <w:t>État aux affaires religieuses finance les projets de construction de nouveaux lieux de culte dans les zones où l</w:t>
      </w:r>
      <w:r w:rsidR="00844541">
        <w:t>’</w:t>
      </w:r>
      <w:r w:rsidRPr="00844541">
        <w:t>une des parties devient irrévocablement propriétaire du lieu de culte précédemment en litige.</w:t>
      </w:r>
    </w:p>
    <w:p w:rsidR="00B43D08" w:rsidRPr="00844541" w:rsidRDefault="00705EFC" w:rsidP="00844541">
      <w:pPr>
        <w:pStyle w:val="ECHRParaQuote"/>
      </w:pPr>
      <w:r w:rsidRPr="00844541">
        <w:t>En outre, l</w:t>
      </w:r>
      <w:r w:rsidR="00844541">
        <w:t>’</w:t>
      </w:r>
      <w:r w:rsidRPr="00844541">
        <w:t>Autorité nationale pour la restitution (</w:t>
      </w:r>
      <w:r w:rsidR="00EE1080" w:rsidRPr="00844541">
        <w:t>...</w:t>
      </w:r>
      <w:r w:rsidRPr="00844541">
        <w:t>) des biens a poursuivi avec les représentants des deux Églises les réunions au cours desquelles ont été examinés divers aspects concernant le stade de règlement des demandes déposées devant la commission spéciale de restitution et les difficultés rencontrées dans le processus de restitution.</w:t>
      </w:r>
    </w:p>
    <w:p w:rsidR="00B43D08" w:rsidRPr="00844541" w:rsidRDefault="00465A0D" w:rsidP="00844541">
      <w:pPr>
        <w:pStyle w:val="ECHRParaQuote"/>
      </w:pPr>
      <w:r w:rsidRPr="00844541">
        <w:t>D</w:t>
      </w:r>
      <w:r w:rsidR="00705EFC" w:rsidRPr="00844541">
        <w:t>urant ces réunions</w:t>
      </w:r>
      <w:r w:rsidRPr="00844541">
        <w:t>,</w:t>
      </w:r>
      <w:r w:rsidR="00705EFC" w:rsidRPr="00844541">
        <w:t xml:space="preserve"> la situation des biens appartenant à l</w:t>
      </w:r>
      <w:r w:rsidR="00844541">
        <w:t>’</w:t>
      </w:r>
      <w:r w:rsidR="00705EFC" w:rsidRPr="00844541">
        <w:t>Église gréco-catholique et actuellement détenus par l</w:t>
      </w:r>
      <w:r w:rsidR="00844541">
        <w:t>’</w:t>
      </w:r>
      <w:r w:rsidR="00705EFC" w:rsidRPr="00844541">
        <w:t>Église orthodoxe roumaine</w:t>
      </w:r>
      <w:r w:rsidRPr="00844541">
        <w:t xml:space="preserve"> a également été examinée</w:t>
      </w:r>
      <w:r w:rsidR="00705EFC" w:rsidRPr="00844541">
        <w:t>, le dialogue entre les deux Églises en vue d</w:t>
      </w:r>
      <w:r w:rsidR="00844541">
        <w:t>’</w:t>
      </w:r>
      <w:r w:rsidR="00705EFC" w:rsidRPr="00844541">
        <w:t>un règlement amiable du contentieux patrimonial étant encouragé.</w:t>
      </w:r>
    </w:p>
    <w:p w:rsidR="00705EFC" w:rsidRPr="00844541" w:rsidRDefault="00705EFC" w:rsidP="00844541">
      <w:pPr>
        <w:pStyle w:val="ECHRParaQuote"/>
      </w:pPr>
      <w:r w:rsidRPr="00844541">
        <w:t>Pour ce qui est du stade actuel de règlement des demandes de restitution déposées par l</w:t>
      </w:r>
      <w:r w:rsidR="00844541">
        <w:t>’</w:t>
      </w:r>
      <w:r w:rsidRPr="00844541">
        <w:t>Église gréco-catholique devant la commission spéciale, il y a lieu de souligner que 1 100 demandes sur 6 723 ont été réglées (16,51 %).</w:t>
      </w:r>
    </w:p>
    <w:p w:rsidR="00B43D08" w:rsidRPr="00844541" w:rsidRDefault="00705EFC" w:rsidP="00844541">
      <w:pPr>
        <w:pStyle w:val="ECHRParaQuote"/>
      </w:pPr>
      <w:r w:rsidRPr="00844541">
        <w:t>Ces demandes ont été réglées de la façon suivante :</w:t>
      </w:r>
    </w:p>
    <w:p w:rsidR="00705EFC" w:rsidRPr="00844541" w:rsidRDefault="00705EFC" w:rsidP="00844541">
      <w:pPr>
        <w:pStyle w:val="ECHRParaQuote"/>
      </w:pPr>
      <w:r w:rsidRPr="00844541">
        <w:t>Restitution en nature : 139</w:t>
      </w:r>
    </w:p>
    <w:p w:rsidR="00705EFC" w:rsidRPr="00844541" w:rsidRDefault="00705EFC" w:rsidP="00844541">
      <w:pPr>
        <w:pStyle w:val="ECHRParaQuote"/>
      </w:pPr>
      <w:r w:rsidRPr="00844541">
        <w:t>Proposition d</w:t>
      </w:r>
      <w:r w:rsidR="00844541">
        <w:t>’</w:t>
      </w:r>
      <w:r w:rsidRPr="00844541">
        <w:t>indemnisation : 52</w:t>
      </w:r>
    </w:p>
    <w:p w:rsidR="00705EFC" w:rsidRPr="00844541" w:rsidRDefault="00705EFC" w:rsidP="00844541">
      <w:pPr>
        <w:pStyle w:val="ECHRParaQuote"/>
      </w:pPr>
      <w:r w:rsidRPr="00844541">
        <w:t>Rejet : 66</w:t>
      </w:r>
    </w:p>
    <w:p w:rsidR="00705EFC" w:rsidRPr="00844541" w:rsidRDefault="00705EFC" w:rsidP="00844541">
      <w:pPr>
        <w:pStyle w:val="ECHRParaQuote"/>
      </w:pPr>
      <w:r w:rsidRPr="00844541">
        <w:t>Autres solutions (réorientation, renonciation) : 853 »</w:t>
      </w:r>
    </w:p>
    <w:p w:rsidR="00EC6427" w:rsidRPr="00844541" w:rsidRDefault="00EC6427" w:rsidP="00844541">
      <w:pPr>
        <w:pStyle w:val="ECHRTitle1"/>
      </w:pPr>
      <w:r w:rsidRPr="00844541">
        <w:t>EN DROIT</w:t>
      </w:r>
    </w:p>
    <w:p w:rsidR="00EC6427" w:rsidRPr="00844541" w:rsidRDefault="00EC6427" w:rsidP="00844541">
      <w:pPr>
        <w:pStyle w:val="ECHRHeading1"/>
      </w:pPr>
      <w:r w:rsidRPr="00844541">
        <w:t>I.  SUR LA VIOLATION ALLÉGUÉE DE L</w:t>
      </w:r>
      <w:r w:rsidR="00844541">
        <w:t>’</w:t>
      </w:r>
      <w:r w:rsidRPr="00844541">
        <w:t xml:space="preserve">ARTICLE </w:t>
      </w:r>
      <w:r w:rsidR="008063DF" w:rsidRPr="00844541">
        <w:t>6</w:t>
      </w:r>
      <w:r w:rsidRPr="00844541">
        <w:t xml:space="preserve"> </w:t>
      </w:r>
      <w:r w:rsidR="00FF432C" w:rsidRPr="00844541">
        <w:t xml:space="preserve">§ 1 </w:t>
      </w:r>
      <w:r w:rsidRPr="00844541">
        <w:t>DE LA CONVENTION</w:t>
      </w:r>
    </w:p>
    <w:p w:rsidR="00CB408A" w:rsidRPr="00844541" w:rsidRDefault="00AA632A"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57</w:t>
      </w:r>
      <w:r w:rsidRPr="00844541">
        <w:rPr>
          <w:noProof/>
        </w:rPr>
        <w:fldChar w:fldCharType="end"/>
      </w:r>
      <w:r w:rsidR="00EC6427" w:rsidRPr="00844541">
        <w:rPr>
          <w:lang w:val="fr-FR"/>
        </w:rPr>
        <w:t>.  </w:t>
      </w:r>
      <w:r w:rsidR="00F33398" w:rsidRPr="00844541">
        <w:rPr>
          <w:lang w:val="fr-FR"/>
        </w:rPr>
        <w:t>Invoquant les articles 6 § 1 et 13 de la Convention, les requérants se plaignent d</w:t>
      </w:r>
      <w:r w:rsidR="00844541">
        <w:rPr>
          <w:lang w:val="fr-FR"/>
        </w:rPr>
        <w:t>’</w:t>
      </w:r>
      <w:r w:rsidR="00CD0596" w:rsidRPr="00844541">
        <w:rPr>
          <w:lang w:val="fr-FR"/>
        </w:rPr>
        <w:t>une</w:t>
      </w:r>
      <w:r w:rsidR="00F33398" w:rsidRPr="00844541">
        <w:rPr>
          <w:lang w:val="fr-FR"/>
        </w:rPr>
        <w:t xml:space="preserve"> méconnaissance de leur droit d</w:t>
      </w:r>
      <w:r w:rsidR="00844541">
        <w:rPr>
          <w:lang w:val="fr-FR"/>
        </w:rPr>
        <w:t>’</w:t>
      </w:r>
      <w:r w:rsidR="00F33398" w:rsidRPr="00844541">
        <w:rPr>
          <w:lang w:val="fr-FR"/>
        </w:rPr>
        <w:t>accès à un tribunal</w:t>
      </w:r>
      <w:r w:rsidR="00CD0596" w:rsidRPr="00844541">
        <w:rPr>
          <w:lang w:val="fr-FR"/>
        </w:rPr>
        <w:t>. Ils reprochent à cet égard aux</w:t>
      </w:r>
      <w:r w:rsidR="00F33398" w:rsidRPr="00844541">
        <w:rPr>
          <w:lang w:val="fr-FR"/>
        </w:rPr>
        <w:t xml:space="preserve"> juridictions nationales </w:t>
      </w:r>
      <w:r w:rsidR="00CD0596" w:rsidRPr="00844541">
        <w:rPr>
          <w:lang w:val="fr-FR"/>
        </w:rPr>
        <w:t>d</w:t>
      </w:r>
      <w:r w:rsidR="00844541">
        <w:rPr>
          <w:lang w:val="fr-FR"/>
        </w:rPr>
        <w:t>’</w:t>
      </w:r>
      <w:r w:rsidR="00CD0596" w:rsidRPr="00844541">
        <w:rPr>
          <w:lang w:val="fr-FR"/>
        </w:rPr>
        <w:t xml:space="preserve">avoir </w:t>
      </w:r>
      <w:r w:rsidR="00F33398" w:rsidRPr="00844541">
        <w:rPr>
          <w:lang w:val="fr-FR"/>
        </w:rPr>
        <w:t xml:space="preserve">tranché leur litige non pas en appliquant les règles du droit commun, mais en leur imposant </w:t>
      </w:r>
      <w:r w:rsidR="00392D6E" w:rsidRPr="00844541">
        <w:rPr>
          <w:lang w:val="fr-FR"/>
        </w:rPr>
        <w:t>le respect d</w:t>
      </w:r>
      <w:r w:rsidR="00844541">
        <w:rPr>
          <w:lang w:val="fr-FR"/>
        </w:rPr>
        <w:t>’</w:t>
      </w:r>
      <w:r w:rsidR="00F33398" w:rsidRPr="00844541">
        <w:rPr>
          <w:lang w:val="fr-FR"/>
        </w:rPr>
        <w:t xml:space="preserve">un critère </w:t>
      </w:r>
      <w:r w:rsidR="00392D6E" w:rsidRPr="00844541">
        <w:rPr>
          <w:lang w:val="fr-FR"/>
        </w:rPr>
        <w:t xml:space="preserve">énoncé </w:t>
      </w:r>
      <w:r w:rsidR="00F33398" w:rsidRPr="00844541">
        <w:rPr>
          <w:lang w:val="fr-FR"/>
        </w:rPr>
        <w:t xml:space="preserve">par la loi spéciale </w:t>
      </w:r>
      <w:r w:rsidR="00392D6E" w:rsidRPr="00844541">
        <w:rPr>
          <w:lang w:val="fr-FR"/>
        </w:rPr>
        <w:t xml:space="preserve">relativement à </w:t>
      </w:r>
      <w:r w:rsidR="00F33398" w:rsidRPr="00844541">
        <w:rPr>
          <w:lang w:val="fr-FR"/>
        </w:rPr>
        <w:t>la procédure amiable (à savoir</w:t>
      </w:r>
      <w:r w:rsidR="00CB408A" w:rsidRPr="00844541">
        <w:rPr>
          <w:lang w:val="fr-FR"/>
        </w:rPr>
        <w:t xml:space="preserve"> le souhait des fidèles de la communauté détentrice du </w:t>
      </w:r>
      <w:r w:rsidR="00CB408A" w:rsidRPr="00844541">
        <w:rPr>
          <w:lang w:val="fr-FR"/>
        </w:rPr>
        <w:lastRenderedPageBreak/>
        <w:t>bien</w:t>
      </w:r>
      <w:r w:rsidR="00F33398" w:rsidRPr="00844541">
        <w:rPr>
          <w:lang w:val="fr-FR"/>
        </w:rPr>
        <w:t>) alors que</w:t>
      </w:r>
      <w:r w:rsidR="00CD0596" w:rsidRPr="00844541">
        <w:rPr>
          <w:lang w:val="fr-FR"/>
        </w:rPr>
        <w:t>, selon les requérants,</w:t>
      </w:r>
      <w:r w:rsidR="00F33398" w:rsidRPr="00844541">
        <w:rPr>
          <w:lang w:val="fr-FR"/>
        </w:rPr>
        <w:t xml:space="preserve"> l</w:t>
      </w:r>
      <w:r w:rsidR="00844541">
        <w:rPr>
          <w:lang w:val="fr-FR"/>
        </w:rPr>
        <w:t>’</w:t>
      </w:r>
      <w:r w:rsidR="00F33398" w:rsidRPr="00844541">
        <w:rPr>
          <w:lang w:val="fr-FR"/>
        </w:rPr>
        <w:t>application de ce critère n</w:t>
      </w:r>
      <w:r w:rsidR="00844541">
        <w:rPr>
          <w:lang w:val="fr-FR"/>
        </w:rPr>
        <w:t>’</w:t>
      </w:r>
      <w:r w:rsidR="00F33398" w:rsidRPr="00844541">
        <w:rPr>
          <w:lang w:val="fr-FR"/>
        </w:rPr>
        <w:t xml:space="preserve">était pas prévisible. </w:t>
      </w:r>
      <w:r w:rsidR="00CB408A" w:rsidRPr="00844541">
        <w:rPr>
          <w:lang w:val="fr-FR"/>
        </w:rPr>
        <w:t xml:space="preserve">La Cour </w:t>
      </w:r>
      <w:r w:rsidR="00392D6E" w:rsidRPr="00844541">
        <w:rPr>
          <w:lang w:val="fr-FR"/>
        </w:rPr>
        <w:t xml:space="preserve">a déjà </w:t>
      </w:r>
      <w:r w:rsidR="00CB408A" w:rsidRPr="00844541">
        <w:rPr>
          <w:lang w:val="fr-FR"/>
        </w:rPr>
        <w:t>estim</w:t>
      </w:r>
      <w:r w:rsidR="00392D6E" w:rsidRPr="00844541">
        <w:rPr>
          <w:lang w:val="fr-FR"/>
        </w:rPr>
        <w:t>é</w:t>
      </w:r>
      <w:r w:rsidR="00CB408A" w:rsidRPr="00844541">
        <w:rPr>
          <w:lang w:val="fr-FR"/>
        </w:rPr>
        <w:t xml:space="preserve"> que</w:t>
      </w:r>
      <w:r w:rsidR="004E3EB3" w:rsidRPr="00844541">
        <w:rPr>
          <w:lang w:val="fr-FR"/>
        </w:rPr>
        <w:t>,</w:t>
      </w:r>
      <w:r w:rsidR="00CB408A" w:rsidRPr="00844541">
        <w:rPr>
          <w:lang w:val="fr-FR"/>
        </w:rPr>
        <w:t xml:space="preserve"> lorsque de telles questions se pos</w:t>
      </w:r>
      <w:r w:rsidR="004E3EB3" w:rsidRPr="00844541">
        <w:rPr>
          <w:lang w:val="fr-FR"/>
        </w:rPr>
        <w:t>ai</w:t>
      </w:r>
      <w:r w:rsidR="00CB408A" w:rsidRPr="00844541">
        <w:rPr>
          <w:lang w:val="fr-FR"/>
        </w:rPr>
        <w:t>ent les garanties de l</w:t>
      </w:r>
      <w:r w:rsidR="00844541">
        <w:rPr>
          <w:lang w:val="fr-FR"/>
        </w:rPr>
        <w:t>’</w:t>
      </w:r>
      <w:r w:rsidR="00CB408A" w:rsidRPr="00844541">
        <w:rPr>
          <w:lang w:val="fr-FR"/>
        </w:rPr>
        <w:t>article 13 se trouv</w:t>
      </w:r>
      <w:r w:rsidR="004E3EB3" w:rsidRPr="00844541">
        <w:rPr>
          <w:lang w:val="fr-FR"/>
        </w:rPr>
        <w:t>ai</w:t>
      </w:r>
      <w:r w:rsidR="00CB408A" w:rsidRPr="00844541">
        <w:rPr>
          <w:lang w:val="fr-FR"/>
        </w:rPr>
        <w:t xml:space="preserve">ent absorbées par </w:t>
      </w:r>
      <w:r w:rsidR="004E3EB3" w:rsidRPr="00844541">
        <w:rPr>
          <w:lang w:val="fr-FR"/>
        </w:rPr>
        <w:t xml:space="preserve">les garanties plus strictes </w:t>
      </w:r>
      <w:r w:rsidR="00CB408A" w:rsidRPr="00844541">
        <w:rPr>
          <w:lang w:val="fr-FR"/>
        </w:rPr>
        <w:t>de l</w:t>
      </w:r>
      <w:r w:rsidR="00844541">
        <w:rPr>
          <w:lang w:val="fr-FR"/>
        </w:rPr>
        <w:t>’</w:t>
      </w:r>
      <w:r w:rsidR="00CB408A" w:rsidRPr="00844541">
        <w:rPr>
          <w:lang w:val="fr-FR"/>
        </w:rPr>
        <w:t>article 6 (</w:t>
      </w:r>
      <w:r w:rsidR="00CB408A" w:rsidRPr="00844541">
        <w:rPr>
          <w:i/>
          <w:lang w:val="fr-FR"/>
        </w:rPr>
        <w:t>Ravon et autres c. France</w:t>
      </w:r>
      <w:r w:rsidR="00CB408A" w:rsidRPr="00844541">
        <w:rPr>
          <w:lang w:val="fr-FR"/>
        </w:rPr>
        <w:t>, n</w:t>
      </w:r>
      <w:r w:rsidR="00CB408A" w:rsidRPr="00844541">
        <w:rPr>
          <w:vertAlign w:val="superscript"/>
          <w:lang w:val="fr-FR"/>
        </w:rPr>
        <w:t>o</w:t>
      </w:r>
      <w:r w:rsidR="00284865" w:rsidRPr="00844541">
        <w:rPr>
          <w:lang w:val="fr-FR"/>
        </w:rPr>
        <w:t xml:space="preserve"> 18497/03, § 27, 21 </w:t>
      </w:r>
      <w:r w:rsidR="00CB408A" w:rsidRPr="00844541">
        <w:rPr>
          <w:lang w:val="fr-FR"/>
        </w:rPr>
        <w:t xml:space="preserve">février 2008). Dès lors, il </w:t>
      </w:r>
      <w:r w:rsidR="00555569" w:rsidRPr="00844541">
        <w:rPr>
          <w:lang w:val="fr-FR"/>
        </w:rPr>
        <w:t xml:space="preserve">y a lieu </w:t>
      </w:r>
      <w:r w:rsidR="00CB408A" w:rsidRPr="00844541">
        <w:rPr>
          <w:lang w:val="fr-FR"/>
        </w:rPr>
        <w:t>d</w:t>
      </w:r>
      <w:r w:rsidR="00844541">
        <w:rPr>
          <w:lang w:val="fr-FR"/>
        </w:rPr>
        <w:t>’</w:t>
      </w:r>
      <w:r w:rsidR="00CB408A" w:rsidRPr="00844541">
        <w:rPr>
          <w:lang w:val="fr-FR"/>
        </w:rPr>
        <w:t>examiner les allégations des requérants uniquement sous l</w:t>
      </w:r>
      <w:r w:rsidR="00844541">
        <w:rPr>
          <w:lang w:val="fr-FR"/>
        </w:rPr>
        <w:t>’</w:t>
      </w:r>
      <w:r w:rsidR="00CB408A" w:rsidRPr="00844541">
        <w:rPr>
          <w:lang w:val="fr-FR"/>
        </w:rPr>
        <w:t>angle de l</w:t>
      </w:r>
      <w:r w:rsidR="00844541">
        <w:rPr>
          <w:lang w:val="fr-FR"/>
        </w:rPr>
        <w:t>’</w:t>
      </w:r>
      <w:r w:rsidR="00CB408A" w:rsidRPr="00844541">
        <w:rPr>
          <w:lang w:val="fr-FR"/>
        </w:rPr>
        <w:t>article 6 § 1 de la Convention</w:t>
      </w:r>
      <w:r w:rsidR="00CD0596" w:rsidRPr="00844541">
        <w:rPr>
          <w:lang w:val="fr-FR"/>
        </w:rPr>
        <w:t>.</w:t>
      </w:r>
    </w:p>
    <w:p w:rsidR="00F33398" w:rsidRPr="00844541" w:rsidRDefault="00CB408A" w:rsidP="00844541">
      <w:pPr>
        <w:pStyle w:val="ECHRPara"/>
        <w:rPr>
          <w:lang w:val="fr-FR"/>
        </w:rPr>
      </w:pPr>
      <w:r w:rsidRPr="00844541">
        <w:rPr>
          <w:lang w:val="fr-FR"/>
        </w:rPr>
        <w:t>Les requérants</w:t>
      </w:r>
      <w:r w:rsidR="00210136" w:rsidRPr="00844541">
        <w:rPr>
          <w:lang w:val="fr-FR"/>
        </w:rPr>
        <w:t xml:space="preserve"> se plaignent également de la durée de </w:t>
      </w:r>
      <w:r w:rsidRPr="00844541">
        <w:rPr>
          <w:lang w:val="fr-FR"/>
        </w:rPr>
        <w:t>la</w:t>
      </w:r>
      <w:r w:rsidR="00210136" w:rsidRPr="00844541">
        <w:rPr>
          <w:lang w:val="fr-FR"/>
        </w:rPr>
        <w:t xml:space="preserve"> procédure.</w:t>
      </w:r>
    </w:p>
    <w:p w:rsidR="00B43D08" w:rsidRPr="00844541" w:rsidRDefault="00AA632A"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58</w:t>
      </w:r>
      <w:r w:rsidRPr="00844541">
        <w:rPr>
          <w:noProof/>
        </w:rPr>
        <w:fldChar w:fldCharType="end"/>
      </w:r>
      <w:r w:rsidR="00755909" w:rsidRPr="00844541">
        <w:rPr>
          <w:lang w:val="fr-FR"/>
        </w:rPr>
        <w:t>.  </w:t>
      </w:r>
      <w:r w:rsidR="00CB408A" w:rsidRPr="00844541">
        <w:rPr>
          <w:lang w:val="fr-FR"/>
        </w:rPr>
        <w:t>L</w:t>
      </w:r>
      <w:r w:rsidR="00844541">
        <w:rPr>
          <w:lang w:val="fr-FR"/>
        </w:rPr>
        <w:t>’</w:t>
      </w:r>
      <w:r w:rsidR="00CB408A" w:rsidRPr="00844541">
        <w:rPr>
          <w:lang w:val="fr-FR"/>
        </w:rPr>
        <w:t xml:space="preserve">article 6 § 1 de la Convention est </w:t>
      </w:r>
      <w:r w:rsidR="00D72929" w:rsidRPr="00844541">
        <w:rPr>
          <w:lang w:val="fr-FR"/>
        </w:rPr>
        <w:t>ainsi libellé dans sa partie pertinente</w:t>
      </w:r>
      <w:r w:rsidR="00555569" w:rsidRPr="00844541">
        <w:rPr>
          <w:lang w:val="fr-FR"/>
        </w:rPr>
        <w:t xml:space="preserve"> en l</w:t>
      </w:r>
      <w:r w:rsidR="00844541">
        <w:rPr>
          <w:lang w:val="fr-FR"/>
        </w:rPr>
        <w:t>’</w:t>
      </w:r>
      <w:r w:rsidR="00555569" w:rsidRPr="00844541">
        <w:rPr>
          <w:lang w:val="fr-FR"/>
        </w:rPr>
        <w:t>espèce</w:t>
      </w:r>
      <w:r w:rsidR="00D72929" w:rsidRPr="00844541">
        <w:rPr>
          <w:lang w:val="fr-FR"/>
        </w:rPr>
        <w:t> :</w:t>
      </w:r>
    </w:p>
    <w:p w:rsidR="00BA784A" w:rsidRPr="00844541" w:rsidRDefault="00BA784A" w:rsidP="00844541">
      <w:pPr>
        <w:pStyle w:val="ECHRParaQuote"/>
      </w:pPr>
      <w:r w:rsidRPr="00844541">
        <w:t xml:space="preserve">« Toute personne a droit à ce que sa cause soit entendue </w:t>
      </w:r>
      <w:r w:rsidR="005F1C48" w:rsidRPr="00844541">
        <w:t xml:space="preserve">équitablement </w:t>
      </w:r>
      <w:r w:rsidRPr="00844541">
        <w:t>(...)</w:t>
      </w:r>
      <w:r w:rsidR="00ED3CCB" w:rsidRPr="00844541">
        <w:t xml:space="preserve"> dans un délai raisonnable, </w:t>
      </w:r>
      <w:r w:rsidRPr="00844541">
        <w:t>par un tribunal (...), qui décidera (...) des contestations sur ses droits et obligations de caractère civil (...) »</w:t>
      </w:r>
    </w:p>
    <w:p w:rsidR="00EC6427" w:rsidRPr="00844541" w:rsidRDefault="00EC6427" w:rsidP="00844541">
      <w:pPr>
        <w:pStyle w:val="ECHRHeading2"/>
      </w:pPr>
      <w:r w:rsidRPr="00844541">
        <w:t>A.  Sur la recevabilité</w:t>
      </w:r>
    </w:p>
    <w:p w:rsidR="000260F5"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59</w:t>
      </w:r>
      <w:r w:rsidRPr="00844541">
        <w:rPr>
          <w:noProof/>
        </w:rPr>
        <w:fldChar w:fldCharType="end"/>
      </w:r>
      <w:r w:rsidR="00E94519" w:rsidRPr="00844541">
        <w:rPr>
          <w:lang w:val="fr-FR"/>
        </w:rPr>
        <w:t>.  La Cour note à titre liminaire que l</w:t>
      </w:r>
      <w:r w:rsidR="00844541">
        <w:rPr>
          <w:lang w:val="fr-FR"/>
        </w:rPr>
        <w:t>’</w:t>
      </w:r>
      <w:r w:rsidR="00E94519" w:rsidRPr="00844541">
        <w:rPr>
          <w:lang w:val="fr-FR"/>
        </w:rPr>
        <w:t>action des requérants rel</w:t>
      </w:r>
      <w:r w:rsidR="000260F5" w:rsidRPr="00844541">
        <w:rPr>
          <w:lang w:val="fr-FR"/>
        </w:rPr>
        <w:t>evait</w:t>
      </w:r>
      <w:r w:rsidR="00E94519" w:rsidRPr="00844541">
        <w:rPr>
          <w:lang w:val="fr-FR"/>
        </w:rPr>
        <w:t xml:space="preserve"> de l</w:t>
      </w:r>
      <w:r w:rsidR="00844541">
        <w:rPr>
          <w:lang w:val="fr-FR"/>
        </w:rPr>
        <w:t>’</w:t>
      </w:r>
      <w:r w:rsidR="00E94519" w:rsidRPr="00844541">
        <w:rPr>
          <w:lang w:val="fr-FR"/>
        </w:rPr>
        <w:t>article 6 § 1 de la Convention dans sa branche civile dès lors qu</w:t>
      </w:r>
      <w:r w:rsidR="00844541">
        <w:rPr>
          <w:lang w:val="fr-FR"/>
        </w:rPr>
        <w:t>’</w:t>
      </w:r>
      <w:r w:rsidR="00E94519" w:rsidRPr="00844541">
        <w:rPr>
          <w:lang w:val="fr-FR"/>
        </w:rPr>
        <w:t xml:space="preserve">elle </w:t>
      </w:r>
      <w:r w:rsidR="00555569" w:rsidRPr="00844541">
        <w:rPr>
          <w:lang w:val="fr-FR"/>
        </w:rPr>
        <w:t>avait pour but la reconnaissance de</w:t>
      </w:r>
      <w:r w:rsidR="00E94519" w:rsidRPr="00844541">
        <w:rPr>
          <w:lang w:val="fr-FR"/>
        </w:rPr>
        <w:t xml:space="preserve"> leur droit de propriété sur un immeuble, droit de caractère patrimonial (</w:t>
      </w:r>
      <w:r w:rsidR="00AF10C0" w:rsidRPr="00844541">
        <w:rPr>
          <w:i/>
          <w:lang w:val="fr-FR"/>
        </w:rPr>
        <w:t xml:space="preserve">Paroisse </w:t>
      </w:r>
      <w:r w:rsidR="00D00356" w:rsidRPr="00844541">
        <w:rPr>
          <w:i/>
          <w:lang w:val="fr-FR"/>
        </w:rPr>
        <w:t>g</w:t>
      </w:r>
      <w:r w:rsidR="00AF10C0" w:rsidRPr="00844541">
        <w:rPr>
          <w:i/>
          <w:lang w:val="fr-FR"/>
        </w:rPr>
        <w:t>r</w:t>
      </w:r>
      <w:r w:rsidR="00555569" w:rsidRPr="00844541">
        <w:rPr>
          <w:i/>
          <w:lang w:val="fr-FR"/>
        </w:rPr>
        <w:t>é</w:t>
      </w:r>
      <w:r w:rsidR="00AF10C0" w:rsidRPr="00844541">
        <w:rPr>
          <w:i/>
          <w:lang w:val="fr-FR"/>
        </w:rPr>
        <w:t>co</w:t>
      </w:r>
      <w:r w:rsidR="00555569" w:rsidRPr="00844541">
        <w:rPr>
          <w:i/>
          <w:lang w:val="fr-FR"/>
        </w:rPr>
        <w:t>-c</w:t>
      </w:r>
      <w:r w:rsidR="00AF10C0" w:rsidRPr="00844541">
        <w:rPr>
          <w:i/>
          <w:lang w:val="fr-FR"/>
        </w:rPr>
        <w:t>atholique Sâmbata Bihor</w:t>
      </w:r>
      <w:r w:rsidR="00AF10C0" w:rsidRPr="00844541">
        <w:rPr>
          <w:snapToGrid w:val="0"/>
          <w:lang w:val="fr-FR"/>
        </w:rPr>
        <w:t xml:space="preserve">, </w:t>
      </w:r>
      <w:r w:rsidR="00D00356" w:rsidRPr="00844541">
        <w:rPr>
          <w:snapToGrid w:val="0"/>
          <w:lang w:val="fr-FR"/>
        </w:rPr>
        <w:t xml:space="preserve">précité, </w:t>
      </w:r>
      <w:r w:rsidR="00AF10C0" w:rsidRPr="00844541">
        <w:rPr>
          <w:snapToGrid w:val="0"/>
          <w:lang w:val="fr-FR"/>
        </w:rPr>
        <w:t>§ 65).</w:t>
      </w:r>
    </w:p>
    <w:p w:rsidR="00EC6427" w:rsidRPr="00844541" w:rsidRDefault="00AA632A"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60</w:t>
      </w:r>
      <w:r w:rsidRPr="00844541">
        <w:rPr>
          <w:noProof/>
        </w:rPr>
        <w:fldChar w:fldCharType="end"/>
      </w:r>
      <w:r w:rsidR="00EC6427" w:rsidRPr="00844541">
        <w:rPr>
          <w:lang w:val="fr-FR"/>
        </w:rPr>
        <w:t>.  </w:t>
      </w:r>
      <w:r w:rsidR="00555569" w:rsidRPr="00844541">
        <w:rPr>
          <w:lang w:val="fr-FR"/>
        </w:rPr>
        <w:t>C</w:t>
      </w:r>
      <w:r w:rsidR="00EC6427" w:rsidRPr="00844541">
        <w:rPr>
          <w:lang w:val="fr-FR"/>
        </w:rPr>
        <w:t>onstat</w:t>
      </w:r>
      <w:r w:rsidR="00555569" w:rsidRPr="00844541">
        <w:rPr>
          <w:lang w:val="fr-FR"/>
        </w:rPr>
        <w:t>ant</w:t>
      </w:r>
      <w:r w:rsidR="00EC6427" w:rsidRPr="00844541">
        <w:rPr>
          <w:lang w:val="fr-FR"/>
        </w:rPr>
        <w:t xml:space="preserve"> </w:t>
      </w:r>
      <w:r w:rsidR="005D107F" w:rsidRPr="00844541">
        <w:rPr>
          <w:lang w:val="fr-FR"/>
        </w:rPr>
        <w:t xml:space="preserve">ensuite </w:t>
      </w:r>
      <w:r w:rsidR="00EC6427" w:rsidRPr="00844541">
        <w:rPr>
          <w:lang w:val="fr-FR"/>
        </w:rPr>
        <w:t xml:space="preserve">que </w:t>
      </w:r>
      <w:r w:rsidR="00CB4956" w:rsidRPr="00844541">
        <w:rPr>
          <w:rStyle w:val="ECHRParaChar"/>
          <w:lang w:val="fr-FR"/>
        </w:rPr>
        <w:t>ce</w:t>
      </w:r>
      <w:r w:rsidR="00210136" w:rsidRPr="00844541">
        <w:rPr>
          <w:rStyle w:val="ECHRParaChar"/>
          <w:lang w:val="fr-FR"/>
        </w:rPr>
        <w:t>s</w:t>
      </w:r>
      <w:r w:rsidR="00CB4956" w:rsidRPr="00844541">
        <w:rPr>
          <w:rStyle w:val="ECHRParaChar"/>
          <w:lang w:val="fr-FR"/>
        </w:rPr>
        <w:t xml:space="preserve"> grief</w:t>
      </w:r>
      <w:r w:rsidR="00210136" w:rsidRPr="00844541">
        <w:rPr>
          <w:rStyle w:val="ECHRParaChar"/>
          <w:lang w:val="fr-FR"/>
        </w:rPr>
        <w:t>s</w:t>
      </w:r>
      <w:r w:rsidR="00CB4956" w:rsidRPr="00844541">
        <w:rPr>
          <w:rStyle w:val="ECHRParaChar"/>
          <w:lang w:val="fr-FR"/>
        </w:rPr>
        <w:t xml:space="preserve"> </w:t>
      </w:r>
      <w:r w:rsidR="00555569" w:rsidRPr="00844541">
        <w:rPr>
          <w:rStyle w:val="ECHRParaChar"/>
          <w:lang w:val="fr-FR"/>
        </w:rPr>
        <w:t xml:space="preserve">des requérants </w:t>
      </w:r>
      <w:r w:rsidR="00EC6427" w:rsidRPr="00844541">
        <w:rPr>
          <w:lang w:val="fr-FR"/>
        </w:rPr>
        <w:t>n</w:t>
      </w:r>
      <w:r w:rsidR="00210136" w:rsidRPr="00844541">
        <w:rPr>
          <w:lang w:val="fr-FR"/>
        </w:rPr>
        <w:t>e sont</w:t>
      </w:r>
      <w:r w:rsidR="00EC6427" w:rsidRPr="00844541">
        <w:rPr>
          <w:lang w:val="fr-FR"/>
        </w:rPr>
        <w:t xml:space="preserve"> pas manifestement mal fondé</w:t>
      </w:r>
      <w:r w:rsidR="00210136" w:rsidRPr="00844541">
        <w:rPr>
          <w:lang w:val="fr-FR"/>
        </w:rPr>
        <w:t>s</w:t>
      </w:r>
      <w:r w:rsidR="006B598F" w:rsidRPr="00844541">
        <w:rPr>
          <w:lang w:val="fr-FR"/>
        </w:rPr>
        <w:t xml:space="preserve"> </w:t>
      </w:r>
      <w:r w:rsidR="00EC6427" w:rsidRPr="00844541">
        <w:rPr>
          <w:lang w:val="fr-FR"/>
        </w:rPr>
        <w:t>au sens de l</w:t>
      </w:r>
      <w:r w:rsidR="00844541">
        <w:rPr>
          <w:lang w:val="fr-FR"/>
        </w:rPr>
        <w:t>’</w:t>
      </w:r>
      <w:r w:rsidR="00EC6427" w:rsidRPr="00844541">
        <w:rPr>
          <w:lang w:val="fr-FR"/>
        </w:rPr>
        <w:t xml:space="preserve">article </w:t>
      </w:r>
      <w:r w:rsidR="006716C1" w:rsidRPr="00844541">
        <w:rPr>
          <w:lang w:val="fr-FR"/>
        </w:rPr>
        <w:t>35 § 3 a)</w:t>
      </w:r>
      <w:r w:rsidR="00EC6427" w:rsidRPr="00844541">
        <w:rPr>
          <w:lang w:val="fr-FR"/>
        </w:rPr>
        <w:t xml:space="preserve"> de la Convention</w:t>
      </w:r>
      <w:r w:rsidR="00555569" w:rsidRPr="00844541">
        <w:rPr>
          <w:lang w:val="fr-FR"/>
        </w:rPr>
        <w:t xml:space="preserve"> et </w:t>
      </w:r>
      <w:r w:rsidR="007357D0" w:rsidRPr="00844541">
        <w:rPr>
          <w:lang w:val="fr-FR"/>
        </w:rPr>
        <w:t>qu</w:t>
      </w:r>
      <w:r w:rsidR="00844541">
        <w:rPr>
          <w:lang w:val="fr-FR"/>
        </w:rPr>
        <w:t>’</w:t>
      </w:r>
      <w:r w:rsidR="007357D0" w:rsidRPr="00844541">
        <w:rPr>
          <w:lang w:val="fr-FR"/>
        </w:rPr>
        <w:t>il</w:t>
      </w:r>
      <w:r w:rsidR="00210136" w:rsidRPr="00844541">
        <w:rPr>
          <w:lang w:val="fr-FR"/>
        </w:rPr>
        <w:t>s</w:t>
      </w:r>
      <w:r w:rsidR="00EC6427" w:rsidRPr="00844541">
        <w:rPr>
          <w:lang w:val="fr-FR"/>
        </w:rPr>
        <w:t xml:space="preserve"> ne se heurte</w:t>
      </w:r>
      <w:r w:rsidR="00210136" w:rsidRPr="00844541">
        <w:rPr>
          <w:lang w:val="fr-FR"/>
        </w:rPr>
        <w:t>nt</w:t>
      </w:r>
      <w:r w:rsidR="00EC6427" w:rsidRPr="00844541">
        <w:rPr>
          <w:lang w:val="fr-FR"/>
        </w:rPr>
        <w:t xml:space="preserve"> à aucun autre motif d</w:t>
      </w:r>
      <w:r w:rsidR="00844541">
        <w:rPr>
          <w:lang w:val="fr-FR"/>
        </w:rPr>
        <w:t>’</w:t>
      </w:r>
      <w:r w:rsidR="00EC6427" w:rsidRPr="00844541">
        <w:rPr>
          <w:lang w:val="fr-FR"/>
        </w:rPr>
        <w:t>irrece</w:t>
      </w:r>
      <w:r w:rsidR="006B598F" w:rsidRPr="00844541">
        <w:rPr>
          <w:lang w:val="fr-FR"/>
        </w:rPr>
        <w:t>vabilité</w:t>
      </w:r>
      <w:r w:rsidR="00555569" w:rsidRPr="00844541">
        <w:rPr>
          <w:lang w:val="fr-FR"/>
        </w:rPr>
        <w:t xml:space="preserve">, elle </w:t>
      </w:r>
      <w:r w:rsidR="00EC6427" w:rsidRPr="00844541">
        <w:rPr>
          <w:lang w:val="fr-FR"/>
        </w:rPr>
        <w:t>le</w:t>
      </w:r>
      <w:r w:rsidR="00A27803" w:rsidRPr="00844541">
        <w:rPr>
          <w:lang w:val="fr-FR"/>
        </w:rPr>
        <w:t>s</w:t>
      </w:r>
      <w:r w:rsidR="00EC6427" w:rsidRPr="00844541">
        <w:rPr>
          <w:lang w:val="fr-FR"/>
        </w:rPr>
        <w:t xml:space="preserve"> déclare recevable</w:t>
      </w:r>
      <w:r w:rsidR="00A27803" w:rsidRPr="00844541">
        <w:rPr>
          <w:lang w:val="fr-FR"/>
        </w:rPr>
        <w:t>s</w:t>
      </w:r>
      <w:r w:rsidR="00EC6427" w:rsidRPr="00844541">
        <w:rPr>
          <w:lang w:val="fr-FR"/>
        </w:rPr>
        <w:t>.</w:t>
      </w:r>
    </w:p>
    <w:p w:rsidR="00EC6427" w:rsidRPr="00844541" w:rsidRDefault="00EC6427" w:rsidP="00844541">
      <w:pPr>
        <w:pStyle w:val="ECHRHeading2"/>
      </w:pPr>
      <w:r w:rsidRPr="00844541">
        <w:t>B.  Sur le fond</w:t>
      </w:r>
    </w:p>
    <w:p w:rsidR="00ED624F" w:rsidRPr="00844541" w:rsidRDefault="00ED624F" w:rsidP="00844541">
      <w:pPr>
        <w:pStyle w:val="ECHRHeading3"/>
      </w:pPr>
      <w:r w:rsidRPr="00844541">
        <w:t>1.</w:t>
      </w:r>
      <w:r w:rsidR="00872174" w:rsidRPr="00844541">
        <w:t>  </w:t>
      </w:r>
      <w:r w:rsidRPr="00844541">
        <w:t>Sur le droit d</w:t>
      </w:r>
      <w:r w:rsidR="00844541">
        <w:t>’</w:t>
      </w:r>
      <w:r w:rsidRPr="00844541">
        <w:t>accès à un tribunal</w:t>
      </w:r>
    </w:p>
    <w:p w:rsidR="00630C5A" w:rsidRPr="00844541" w:rsidRDefault="00630C5A" w:rsidP="00844541">
      <w:pPr>
        <w:pStyle w:val="ECHRHeading4"/>
      </w:pPr>
      <w:r w:rsidRPr="00844541">
        <w:t>a)</w:t>
      </w:r>
      <w:r w:rsidR="00872174" w:rsidRPr="00844541">
        <w:t>  </w:t>
      </w:r>
      <w:r w:rsidRPr="00844541">
        <w:t>Les arguments des parties</w:t>
      </w:r>
    </w:p>
    <w:p w:rsidR="001E6B4B" w:rsidRPr="00844541" w:rsidRDefault="001E6B4B" w:rsidP="00844541">
      <w:pPr>
        <w:pStyle w:val="ECHRHeading5"/>
      </w:pPr>
      <w:r w:rsidRPr="00844541">
        <w:t>i</w:t>
      </w:r>
      <w:r w:rsidR="00872174" w:rsidRPr="00844541">
        <w:t>.</w:t>
      </w:r>
      <w:r w:rsidR="00C156DD" w:rsidRPr="00844541">
        <w:t>  </w:t>
      </w:r>
      <w:r w:rsidRPr="00844541">
        <w:t>Les requérants</w:t>
      </w:r>
    </w:p>
    <w:p w:rsidR="00465259" w:rsidRPr="00844541" w:rsidRDefault="00630C5A" w:rsidP="00844541">
      <w:pPr>
        <w:pStyle w:val="ECHRPara"/>
        <w:rPr>
          <w:lang w:val="fr-FR" w:eastAsia="fr-FR"/>
        </w:rPr>
      </w:pPr>
      <w:r w:rsidRPr="00844541">
        <w:rPr>
          <w:lang w:eastAsia="fr-FR"/>
        </w:rPr>
        <w:fldChar w:fldCharType="begin"/>
      </w:r>
      <w:r w:rsidRPr="00844541">
        <w:rPr>
          <w:lang w:val="fr-FR" w:eastAsia="fr-FR"/>
        </w:rPr>
        <w:instrText xml:space="preserve"> SEQ level0 \*arabic </w:instrText>
      </w:r>
      <w:r w:rsidRPr="00844541">
        <w:rPr>
          <w:lang w:eastAsia="fr-FR"/>
        </w:rPr>
        <w:fldChar w:fldCharType="separate"/>
      </w:r>
      <w:r w:rsidR="00767866">
        <w:rPr>
          <w:noProof/>
          <w:lang w:val="fr-FR" w:eastAsia="fr-FR"/>
        </w:rPr>
        <w:t>61</w:t>
      </w:r>
      <w:r w:rsidRPr="00844541">
        <w:rPr>
          <w:noProof/>
          <w:lang w:eastAsia="fr-FR"/>
        </w:rPr>
        <w:fldChar w:fldCharType="end"/>
      </w:r>
      <w:r w:rsidRPr="00844541">
        <w:rPr>
          <w:lang w:val="fr-FR" w:eastAsia="fr-FR"/>
        </w:rPr>
        <w:t>.  </w:t>
      </w:r>
      <w:r w:rsidRPr="00844541">
        <w:rPr>
          <w:noProof/>
          <w:lang w:val="fr-FR" w:eastAsia="fr-FR"/>
        </w:rPr>
        <w:t>Les requérants</w:t>
      </w:r>
      <w:r w:rsidRPr="00844541">
        <w:rPr>
          <w:lang w:val="fr-FR" w:eastAsia="fr-FR"/>
        </w:rPr>
        <w:t xml:space="preserve"> </w:t>
      </w:r>
      <w:r w:rsidR="00465259" w:rsidRPr="00844541">
        <w:rPr>
          <w:lang w:val="fr-FR" w:eastAsia="fr-FR"/>
        </w:rPr>
        <w:t>estime</w:t>
      </w:r>
      <w:r w:rsidR="005D0A36" w:rsidRPr="00844541">
        <w:rPr>
          <w:lang w:val="fr-FR" w:eastAsia="fr-FR"/>
        </w:rPr>
        <w:t>nt</w:t>
      </w:r>
      <w:r w:rsidR="00465259" w:rsidRPr="00844541">
        <w:rPr>
          <w:lang w:val="fr-FR" w:eastAsia="fr-FR"/>
        </w:rPr>
        <w:t xml:space="preserve"> que leur droit d</w:t>
      </w:r>
      <w:r w:rsidR="00844541">
        <w:rPr>
          <w:lang w:val="fr-FR" w:eastAsia="fr-FR"/>
        </w:rPr>
        <w:t>’</w:t>
      </w:r>
      <w:r w:rsidR="00465259" w:rsidRPr="00844541">
        <w:rPr>
          <w:lang w:val="fr-FR" w:eastAsia="fr-FR"/>
        </w:rPr>
        <w:t xml:space="preserve">accès à un tribunal </w:t>
      </w:r>
      <w:r w:rsidR="002161E5" w:rsidRPr="00844541">
        <w:rPr>
          <w:lang w:val="fr-FR" w:eastAsia="fr-FR"/>
        </w:rPr>
        <w:t>n</w:t>
      </w:r>
      <w:r w:rsidR="00844541">
        <w:rPr>
          <w:lang w:val="fr-FR" w:eastAsia="fr-FR"/>
        </w:rPr>
        <w:t>’</w:t>
      </w:r>
      <w:r w:rsidR="002161E5" w:rsidRPr="00844541">
        <w:rPr>
          <w:lang w:val="fr-FR" w:eastAsia="fr-FR"/>
        </w:rPr>
        <w:t>était</w:t>
      </w:r>
      <w:r w:rsidR="00465259" w:rsidRPr="00844541">
        <w:rPr>
          <w:lang w:val="fr-FR" w:eastAsia="fr-FR"/>
        </w:rPr>
        <w:t xml:space="preserve"> qu</w:t>
      </w:r>
      <w:r w:rsidR="00844541">
        <w:rPr>
          <w:lang w:val="fr-FR" w:eastAsia="fr-FR"/>
        </w:rPr>
        <w:t>’</w:t>
      </w:r>
      <w:r w:rsidR="00465259" w:rsidRPr="00844541">
        <w:rPr>
          <w:lang w:val="fr-FR" w:eastAsia="fr-FR"/>
        </w:rPr>
        <w:t xml:space="preserve">illusoire, </w:t>
      </w:r>
      <w:r w:rsidR="00C023B0" w:rsidRPr="00844541">
        <w:rPr>
          <w:lang w:val="fr-FR" w:eastAsia="fr-FR"/>
        </w:rPr>
        <w:t>dans la mesure où, selon eux,</w:t>
      </w:r>
      <w:r w:rsidR="00465259" w:rsidRPr="00844541">
        <w:rPr>
          <w:lang w:val="fr-FR" w:eastAsia="fr-FR"/>
        </w:rPr>
        <w:t xml:space="preserve"> </w:t>
      </w:r>
      <w:r w:rsidRPr="00844541">
        <w:rPr>
          <w:lang w:val="fr-FR" w:eastAsia="fr-FR"/>
        </w:rPr>
        <w:t>les tribunaux n</w:t>
      </w:r>
      <w:r w:rsidR="00844541">
        <w:rPr>
          <w:lang w:val="fr-FR" w:eastAsia="fr-FR"/>
        </w:rPr>
        <w:t>’</w:t>
      </w:r>
      <w:r w:rsidRPr="00844541">
        <w:rPr>
          <w:lang w:val="fr-FR" w:eastAsia="fr-FR"/>
        </w:rPr>
        <w:t>ont pas</w:t>
      </w:r>
      <w:r w:rsidR="00465259" w:rsidRPr="00844541">
        <w:rPr>
          <w:lang w:val="fr-FR" w:eastAsia="fr-FR"/>
        </w:rPr>
        <w:t xml:space="preserve"> eu</w:t>
      </w:r>
      <w:r w:rsidRPr="00844541">
        <w:rPr>
          <w:lang w:val="fr-FR" w:eastAsia="fr-FR"/>
        </w:rPr>
        <w:t xml:space="preserve"> plénitude de juridiction pour trancher le litige concernant le lieu de culte. </w:t>
      </w:r>
      <w:r w:rsidR="00C023B0" w:rsidRPr="00844541">
        <w:rPr>
          <w:lang w:val="fr-FR" w:eastAsia="fr-FR"/>
        </w:rPr>
        <w:t>Ils précisent à cet égard que</w:t>
      </w:r>
      <w:r w:rsidR="00465259" w:rsidRPr="00844541">
        <w:rPr>
          <w:lang w:val="fr-FR" w:eastAsia="fr-FR"/>
        </w:rPr>
        <w:t>, en faisant appliqu</w:t>
      </w:r>
      <w:r w:rsidR="007D5449" w:rsidRPr="00844541">
        <w:rPr>
          <w:lang w:val="fr-FR" w:eastAsia="fr-FR"/>
        </w:rPr>
        <w:t>er</w:t>
      </w:r>
      <w:r w:rsidR="00465259" w:rsidRPr="00844541">
        <w:rPr>
          <w:lang w:val="fr-FR" w:eastAsia="fr-FR"/>
        </w:rPr>
        <w:t xml:space="preserve"> le critère de la loi spéciale, à savoir l</w:t>
      </w:r>
      <w:r w:rsidR="005D0A36" w:rsidRPr="00844541">
        <w:rPr>
          <w:lang w:val="fr-FR" w:eastAsia="fr-FR"/>
        </w:rPr>
        <w:t>a volonté</w:t>
      </w:r>
      <w:r w:rsidR="00465259" w:rsidRPr="00844541">
        <w:rPr>
          <w:lang w:val="fr-FR" w:eastAsia="fr-FR"/>
        </w:rPr>
        <w:t xml:space="preserve"> des fidèles de la communauté détentrice du bien </w:t>
      </w:r>
      <w:r w:rsidR="00C023B0" w:rsidRPr="00844541">
        <w:rPr>
          <w:lang w:val="fr-FR" w:eastAsia="fr-FR"/>
        </w:rPr>
        <w:t xml:space="preserve">– </w:t>
      </w:r>
      <w:r w:rsidR="00465259" w:rsidRPr="00844541">
        <w:rPr>
          <w:lang w:val="fr-FR" w:eastAsia="fr-FR"/>
        </w:rPr>
        <w:t>la partie défenderesse dans le litige</w:t>
      </w:r>
      <w:r w:rsidR="00C023B0" w:rsidRPr="00844541">
        <w:rPr>
          <w:lang w:val="fr-FR" w:eastAsia="fr-FR"/>
        </w:rPr>
        <w:t xml:space="preserve"> –</w:t>
      </w:r>
      <w:r w:rsidR="00465259" w:rsidRPr="00844541">
        <w:rPr>
          <w:lang w:val="fr-FR" w:eastAsia="fr-FR"/>
        </w:rPr>
        <w:t xml:space="preserve">, les juridictions ont vidé de </w:t>
      </w:r>
      <w:r w:rsidR="002161E5" w:rsidRPr="00844541">
        <w:rPr>
          <w:lang w:val="fr-FR" w:eastAsia="fr-FR"/>
        </w:rPr>
        <w:t xml:space="preserve">son </w:t>
      </w:r>
      <w:r w:rsidR="00465259" w:rsidRPr="00844541">
        <w:rPr>
          <w:lang w:val="fr-FR" w:eastAsia="fr-FR"/>
        </w:rPr>
        <w:t>contenu leur droit d</w:t>
      </w:r>
      <w:r w:rsidR="00844541">
        <w:rPr>
          <w:lang w:val="fr-FR" w:eastAsia="fr-FR"/>
        </w:rPr>
        <w:t>’</w:t>
      </w:r>
      <w:r w:rsidR="00465259" w:rsidRPr="00844541">
        <w:rPr>
          <w:lang w:val="fr-FR" w:eastAsia="fr-FR"/>
        </w:rPr>
        <w:t>accès à un tribunal.</w:t>
      </w:r>
    </w:p>
    <w:p w:rsidR="00F618F2" w:rsidRPr="00844541" w:rsidRDefault="00723E95" w:rsidP="00844541">
      <w:pPr>
        <w:pStyle w:val="ECHRPara"/>
        <w:rPr>
          <w:lang w:val="fr-FR" w:eastAsia="fr-FR"/>
        </w:rPr>
      </w:pPr>
      <w:r w:rsidRPr="00844541">
        <w:rPr>
          <w:lang w:eastAsia="fr-FR"/>
        </w:rPr>
        <w:fldChar w:fldCharType="begin"/>
      </w:r>
      <w:r w:rsidRPr="00844541">
        <w:rPr>
          <w:lang w:val="fr-FR" w:eastAsia="fr-FR"/>
        </w:rPr>
        <w:instrText xml:space="preserve"> SEQ level0 \*arabic </w:instrText>
      </w:r>
      <w:r w:rsidRPr="00844541">
        <w:rPr>
          <w:lang w:eastAsia="fr-FR"/>
        </w:rPr>
        <w:fldChar w:fldCharType="separate"/>
      </w:r>
      <w:r w:rsidR="00767866">
        <w:rPr>
          <w:noProof/>
          <w:lang w:val="fr-FR" w:eastAsia="fr-FR"/>
        </w:rPr>
        <w:t>62</w:t>
      </w:r>
      <w:r w:rsidRPr="00844541">
        <w:rPr>
          <w:lang w:eastAsia="fr-FR"/>
        </w:rPr>
        <w:fldChar w:fldCharType="end"/>
      </w:r>
      <w:r w:rsidRPr="00844541">
        <w:rPr>
          <w:lang w:val="fr-FR" w:eastAsia="fr-FR"/>
        </w:rPr>
        <w:t>.  </w:t>
      </w:r>
      <w:r w:rsidR="003B34C3" w:rsidRPr="00844541">
        <w:rPr>
          <w:lang w:val="fr-FR" w:eastAsia="fr-FR"/>
        </w:rPr>
        <w:t xml:space="preserve">Dans </w:t>
      </w:r>
      <w:r w:rsidR="00465259" w:rsidRPr="00844541">
        <w:rPr>
          <w:lang w:val="fr-FR" w:eastAsia="fr-FR"/>
        </w:rPr>
        <w:t>leurs</w:t>
      </w:r>
      <w:r w:rsidR="003B34C3" w:rsidRPr="00844541">
        <w:rPr>
          <w:lang w:val="fr-FR" w:eastAsia="fr-FR"/>
        </w:rPr>
        <w:t xml:space="preserve"> observations complémentaires, l</w:t>
      </w:r>
      <w:r w:rsidR="00E84C59" w:rsidRPr="00844541">
        <w:rPr>
          <w:lang w:val="fr-FR" w:eastAsia="fr-FR"/>
        </w:rPr>
        <w:t>es</w:t>
      </w:r>
      <w:r w:rsidR="003B34C3" w:rsidRPr="00844541">
        <w:rPr>
          <w:lang w:val="fr-FR" w:eastAsia="fr-FR"/>
        </w:rPr>
        <w:t xml:space="preserve"> requérant</w:t>
      </w:r>
      <w:r w:rsidR="00E84C59" w:rsidRPr="00844541">
        <w:rPr>
          <w:lang w:val="fr-FR" w:eastAsia="fr-FR"/>
        </w:rPr>
        <w:t>s</w:t>
      </w:r>
      <w:r w:rsidR="003B34C3" w:rsidRPr="00844541">
        <w:rPr>
          <w:lang w:val="fr-FR" w:eastAsia="fr-FR"/>
        </w:rPr>
        <w:t xml:space="preserve"> </w:t>
      </w:r>
      <w:r w:rsidR="002161E5" w:rsidRPr="00844541">
        <w:rPr>
          <w:lang w:val="fr-FR" w:eastAsia="fr-FR"/>
        </w:rPr>
        <w:t xml:space="preserve">indiquent </w:t>
      </w:r>
      <w:r w:rsidR="00465259" w:rsidRPr="00844541">
        <w:rPr>
          <w:lang w:val="fr-FR" w:eastAsia="fr-FR"/>
        </w:rPr>
        <w:t xml:space="preserve">que, </w:t>
      </w:r>
      <w:r w:rsidR="003B34C3" w:rsidRPr="00844541">
        <w:rPr>
          <w:lang w:val="fr-FR" w:eastAsia="fr-FR"/>
        </w:rPr>
        <w:t xml:space="preserve">dans la mesure où la majorité </w:t>
      </w:r>
      <w:r w:rsidR="00C023B0" w:rsidRPr="00844541">
        <w:rPr>
          <w:lang w:val="fr-FR" w:eastAsia="fr-FR"/>
        </w:rPr>
        <w:t xml:space="preserve">serait </w:t>
      </w:r>
      <w:r w:rsidR="003B34C3" w:rsidRPr="00844541">
        <w:rPr>
          <w:lang w:val="fr-FR" w:eastAsia="fr-FR"/>
        </w:rPr>
        <w:t>toujours orthodoxe, il était difficile d</w:t>
      </w:r>
      <w:r w:rsidR="00844541">
        <w:rPr>
          <w:lang w:val="fr-FR" w:eastAsia="fr-FR"/>
        </w:rPr>
        <w:t>’</w:t>
      </w:r>
      <w:r w:rsidR="003B34C3" w:rsidRPr="00844541">
        <w:rPr>
          <w:lang w:val="fr-FR" w:eastAsia="fr-FR"/>
        </w:rPr>
        <w:t>obtenir la restitution du lieu de culte.</w:t>
      </w:r>
      <w:r w:rsidR="00083EBA" w:rsidRPr="00844541">
        <w:rPr>
          <w:lang w:val="fr-FR"/>
        </w:rPr>
        <w:t xml:space="preserve"> </w:t>
      </w:r>
      <w:r w:rsidR="001E6B4B" w:rsidRPr="00844541">
        <w:rPr>
          <w:lang w:val="fr-FR" w:eastAsia="fr-FR"/>
        </w:rPr>
        <w:t xml:space="preserve">Ils </w:t>
      </w:r>
      <w:r w:rsidR="00F618F2" w:rsidRPr="00844541">
        <w:rPr>
          <w:lang w:val="fr-FR" w:eastAsia="fr-FR"/>
        </w:rPr>
        <w:t>considère</w:t>
      </w:r>
      <w:r w:rsidR="00465259" w:rsidRPr="00844541">
        <w:rPr>
          <w:lang w:val="fr-FR" w:eastAsia="fr-FR"/>
        </w:rPr>
        <w:t>nt</w:t>
      </w:r>
      <w:r w:rsidR="00F618F2" w:rsidRPr="00844541">
        <w:rPr>
          <w:lang w:val="fr-FR" w:eastAsia="fr-FR"/>
        </w:rPr>
        <w:t xml:space="preserve"> que les juridictions internes saisies d</w:t>
      </w:r>
      <w:r w:rsidR="00844541">
        <w:rPr>
          <w:lang w:val="fr-FR" w:eastAsia="fr-FR"/>
        </w:rPr>
        <w:t>’</w:t>
      </w:r>
      <w:r w:rsidR="00F618F2" w:rsidRPr="00844541">
        <w:rPr>
          <w:lang w:val="fr-FR" w:eastAsia="fr-FR"/>
        </w:rPr>
        <w:t xml:space="preserve">une action en revendication devaient appliquer le droit commun et </w:t>
      </w:r>
      <w:r w:rsidR="00C023B0" w:rsidRPr="00844541">
        <w:rPr>
          <w:lang w:val="fr-FR" w:eastAsia="fr-FR"/>
        </w:rPr>
        <w:t xml:space="preserve">procéder à </w:t>
      </w:r>
      <w:r w:rsidR="00F618F2" w:rsidRPr="00844541">
        <w:rPr>
          <w:lang w:val="fr-FR" w:eastAsia="fr-FR"/>
        </w:rPr>
        <w:t>une comparaison des titres de propriété des parties</w:t>
      </w:r>
      <w:r w:rsidR="002161E5" w:rsidRPr="00844541">
        <w:rPr>
          <w:lang w:val="fr-FR" w:eastAsia="fr-FR"/>
        </w:rPr>
        <w:t>, et</w:t>
      </w:r>
      <w:r w:rsidR="00465259" w:rsidRPr="00844541">
        <w:rPr>
          <w:lang w:val="fr-FR" w:eastAsia="fr-FR"/>
        </w:rPr>
        <w:t xml:space="preserve"> </w:t>
      </w:r>
      <w:r w:rsidR="00F618F2" w:rsidRPr="00844541">
        <w:rPr>
          <w:lang w:val="fr-FR" w:eastAsia="fr-FR"/>
        </w:rPr>
        <w:lastRenderedPageBreak/>
        <w:t>que la prise en considération de la contribution des deux cultes à la construction de l</w:t>
      </w:r>
      <w:r w:rsidR="00844541">
        <w:rPr>
          <w:lang w:val="fr-FR" w:eastAsia="fr-FR"/>
        </w:rPr>
        <w:t>’</w:t>
      </w:r>
      <w:r w:rsidR="00F618F2" w:rsidRPr="00844541">
        <w:rPr>
          <w:lang w:val="fr-FR" w:eastAsia="fr-FR"/>
        </w:rPr>
        <w:t xml:space="preserve">édifice </w:t>
      </w:r>
      <w:r w:rsidR="00465259" w:rsidRPr="00844541">
        <w:rPr>
          <w:lang w:val="fr-FR" w:eastAsia="fr-FR"/>
        </w:rPr>
        <w:t>ou l</w:t>
      </w:r>
      <w:r w:rsidR="00844541">
        <w:rPr>
          <w:lang w:val="fr-FR" w:eastAsia="fr-FR"/>
        </w:rPr>
        <w:t>’</w:t>
      </w:r>
      <w:r w:rsidR="00465259" w:rsidRPr="00844541">
        <w:rPr>
          <w:lang w:val="fr-FR" w:eastAsia="fr-FR"/>
        </w:rPr>
        <w:t xml:space="preserve">usage de ce dernier </w:t>
      </w:r>
      <w:r w:rsidR="00F618F2" w:rsidRPr="00844541">
        <w:rPr>
          <w:lang w:val="fr-FR" w:eastAsia="fr-FR"/>
        </w:rPr>
        <w:t>n</w:t>
      </w:r>
      <w:r w:rsidR="00465259" w:rsidRPr="00844541">
        <w:rPr>
          <w:lang w:val="fr-FR" w:eastAsia="fr-FR"/>
        </w:rPr>
        <w:t>e constituaient pas</w:t>
      </w:r>
      <w:r w:rsidR="00F618F2" w:rsidRPr="00844541">
        <w:rPr>
          <w:lang w:val="fr-FR" w:eastAsia="fr-FR"/>
        </w:rPr>
        <w:t xml:space="preserve"> </w:t>
      </w:r>
      <w:r w:rsidR="00465259" w:rsidRPr="00844541">
        <w:rPr>
          <w:lang w:val="fr-FR" w:eastAsia="fr-FR"/>
        </w:rPr>
        <w:t>des</w:t>
      </w:r>
      <w:r w:rsidR="00F618F2" w:rsidRPr="00844541">
        <w:rPr>
          <w:lang w:val="fr-FR" w:eastAsia="fr-FR"/>
        </w:rPr>
        <w:t xml:space="preserve"> critère</w:t>
      </w:r>
      <w:r w:rsidR="00465259" w:rsidRPr="00844541">
        <w:rPr>
          <w:lang w:val="fr-FR" w:eastAsia="fr-FR"/>
        </w:rPr>
        <w:t>s</w:t>
      </w:r>
      <w:r w:rsidR="00F618F2" w:rsidRPr="00844541">
        <w:rPr>
          <w:lang w:val="fr-FR" w:eastAsia="fr-FR"/>
        </w:rPr>
        <w:t xml:space="preserve"> pertinent</w:t>
      </w:r>
      <w:r w:rsidR="00E9355C" w:rsidRPr="00844541">
        <w:rPr>
          <w:lang w:val="fr-FR" w:eastAsia="fr-FR"/>
        </w:rPr>
        <w:t>s</w:t>
      </w:r>
      <w:r w:rsidR="00F618F2" w:rsidRPr="00844541">
        <w:rPr>
          <w:lang w:val="fr-FR" w:eastAsia="fr-FR"/>
        </w:rPr>
        <w:t xml:space="preserve"> dans </w:t>
      </w:r>
      <w:r w:rsidR="00465A0D" w:rsidRPr="00844541">
        <w:rPr>
          <w:lang w:val="fr-FR" w:eastAsia="fr-FR"/>
        </w:rPr>
        <w:t>l</w:t>
      </w:r>
      <w:r w:rsidR="00844541">
        <w:rPr>
          <w:lang w:val="fr-FR" w:eastAsia="fr-FR"/>
        </w:rPr>
        <w:t>’</w:t>
      </w:r>
      <w:r w:rsidR="00465A0D" w:rsidRPr="00844541">
        <w:rPr>
          <w:lang w:val="fr-FR" w:eastAsia="fr-FR"/>
        </w:rPr>
        <w:t>établissement</w:t>
      </w:r>
      <w:r w:rsidR="00C023B0" w:rsidRPr="00844541">
        <w:rPr>
          <w:lang w:val="fr-FR" w:eastAsia="fr-FR"/>
        </w:rPr>
        <w:t xml:space="preserve"> </w:t>
      </w:r>
      <w:r w:rsidR="00F618F2" w:rsidRPr="00844541">
        <w:rPr>
          <w:lang w:val="fr-FR" w:eastAsia="fr-FR"/>
        </w:rPr>
        <w:t xml:space="preserve">des titres de propriété. </w:t>
      </w:r>
      <w:r w:rsidR="007D5449" w:rsidRPr="00844541">
        <w:rPr>
          <w:lang w:val="fr-FR" w:eastAsia="fr-FR"/>
        </w:rPr>
        <w:t xml:space="preserve">Ils </w:t>
      </w:r>
      <w:r w:rsidR="002161E5" w:rsidRPr="00844541">
        <w:rPr>
          <w:lang w:val="fr-FR" w:eastAsia="fr-FR"/>
        </w:rPr>
        <w:t xml:space="preserve">soutiennent enfin </w:t>
      </w:r>
      <w:r w:rsidR="0090052B" w:rsidRPr="00844541">
        <w:rPr>
          <w:lang w:val="fr-FR" w:eastAsia="fr-FR"/>
        </w:rPr>
        <w:t>que l</w:t>
      </w:r>
      <w:r w:rsidR="00844541">
        <w:rPr>
          <w:lang w:val="fr-FR" w:eastAsia="fr-FR"/>
        </w:rPr>
        <w:t>’</w:t>
      </w:r>
      <w:r w:rsidR="0090052B" w:rsidRPr="00844541">
        <w:rPr>
          <w:lang w:val="fr-FR" w:eastAsia="fr-FR"/>
        </w:rPr>
        <w:t>absence</w:t>
      </w:r>
      <w:r w:rsidR="002161E5" w:rsidRPr="00844541">
        <w:rPr>
          <w:lang w:val="fr-FR" w:eastAsia="fr-FR"/>
        </w:rPr>
        <w:t>, selon eux,</w:t>
      </w:r>
      <w:r w:rsidR="0090052B" w:rsidRPr="00844541">
        <w:rPr>
          <w:lang w:val="fr-FR" w:eastAsia="fr-FR"/>
        </w:rPr>
        <w:t xml:space="preserve"> de disposition légale claire et prévisible quant à la manière dont le critère de la volonté de la majorité des </w:t>
      </w:r>
      <w:r w:rsidR="00C023B0" w:rsidRPr="00844541">
        <w:rPr>
          <w:lang w:val="fr-FR" w:eastAsia="fr-FR"/>
        </w:rPr>
        <w:t xml:space="preserve">fidèles </w:t>
      </w:r>
      <w:r w:rsidR="0090052B" w:rsidRPr="00844541">
        <w:rPr>
          <w:lang w:val="fr-FR" w:eastAsia="fr-FR"/>
        </w:rPr>
        <w:t>devait se combin</w:t>
      </w:r>
      <w:r w:rsidR="00460172" w:rsidRPr="00844541">
        <w:rPr>
          <w:lang w:val="fr-FR" w:eastAsia="fr-FR"/>
        </w:rPr>
        <w:t>er</w:t>
      </w:r>
      <w:r w:rsidR="0090052B" w:rsidRPr="00844541">
        <w:rPr>
          <w:lang w:val="fr-FR" w:eastAsia="fr-FR"/>
        </w:rPr>
        <w:t xml:space="preserve"> avec le droit commun a </w:t>
      </w:r>
      <w:r w:rsidR="00C023B0" w:rsidRPr="00844541">
        <w:rPr>
          <w:lang w:val="fr-FR" w:eastAsia="fr-FR"/>
        </w:rPr>
        <w:t>eu pour effet de rendre leur</w:t>
      </w:r>
      <w:r w:rsidR="0090052B" w:rsidRPr="00844541">
        <w:rPr>
          <w:lang w:val="fr-FR" w:eastAsia="fr-FR"/>
        </w:rPr>
        <w:t xml:space="preserve"> droit d</w:t>
      </w:r>
      <w:r w:rsidR="00844541">
        <w:rPr>
          <w:lang w:val="fr-FR" w:eastAsia="fr-FR"/>
        </w:rPr>
        <w:t>’</w:t>
      </w:r>
      <w:r w:rsidR="0090052B" w:rsidRPr="00844541">
        <w:rPr>
          <w:lang w:val="fr-FR" w:eastAsia="fr-FR"/>
        </w:rPr>
        <w:t>accès à un tribunal ineffectif.</w:t>
      </w:r>
    </w:p>
    <w:p w:rsidR="001E6B4B" w:rsidRPr="00844541" w:rsidRDefault="001E6B4B" w:rsidP="00844541">
      <w:pPr>
        <w:pStyle w:val="ECHRHeading5"/>
      </w:pPr>
      <w:r w:rsidRPr="00844541">
        <w:t>ii</w:t>
      </w:r>
      <w:r w:rsidR="002161E5" w:rsidRPr="00844541">
        <w:t>.  </w:t>
      </w:r>
      <w:r w:rsidRPr="00844541">
        <w:t>Le Gouvernement</w:t>
      </w:r>
    </w:p>
    <w:p w:rsidR="0012318B" w:rsidRPr="00844541" w:rsidRDefault="008549DA"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63</w:t>
      </w:r>
      <w:r w:rsidRPr="00844541">
        <w:rPr>
          <w:noProof/>
        </w:rPr>
        <w:fldChar w:fldCharType="end"/>
      </w:r>
      <w:r w:rsidR="00FC10E5" w:rsidRPr="00844541">
        <w:rPr>
          <w:lang w:val="fr-FR"/>
        </w:rPr>
        <w:t>.  </w:t>
      </w:r>
      <w:r w:rsidR="0012318B" w:rsidRPr="00844541">
        <w:rPr>
          <w:lang w:val="fr-FR"/>
        </w:rPr>
        <w:t xml:space="preserve">Le Gouvernement ne </w:t>
      </w:r>
      <w:r w:rsidR="00C023B0" w:rsidRPr="00844541">
        <w:rPr>
          <w:lang w:val="fr-FR"/>
        </w:rPr>
        <w:t xml:space="preserve">nie </w:t>
      </w:r>
      <w:r w:rsidR="0012318B" w:rsidRPr="00844541">
        <w:rPr>
          <w:lang w:val="fr-FR"/>
        </w:rPr>
        <w:t>pas l</w:t>
      </w:r>
      <w:r w:rsidR="00844541">
        <w:rPr>
          <w:lang w:val="fr-FR"/>
        </w:rPr>
        <w:t>’</w:t>
      </w:r>
      <w:r w:rsidR="0012318B" w:rsidRPr="00844541">
        <w:rPr>
          <w:lang w:val="fr-FR"/>
        </w:rPr>
        <w:t>existence d</w:t>
      </w:r>
      <w:r w:rsidR="00844541">
        <w:rPr>
          <w:lang w:val="fr-FR"/>
        </w:rPr>
        <w:t>’</w:t>
      </w:r>
      <w:r w:rsidR="0012318B" w:rsidRPr="00844541">
        <w:rPr>
          <w:lang w:val="fr-FR"/>
        </w:rPr>
        <w:t>une limitation dans le droit d</w:t>
      </w:r>
      <w:r w:rsidR="00844541">
        <w:rPr>
          <w:lang w:val="fr-FR"/>
        </w:rPr>
        <w:t>’</w:t>
      </w:r>
      <w:r w:rsidR="0012318B" w:rsidRPr="00844541">
        <w:rPr>
          <w:lang w:val="fr-FR"/>
        </w:rPr>
        <w:t xml:space="preserve">accès des requérants à un tribunal, mais il soutient que cette limitation </w:t>
      </w:r>
      <w:r w:rsidR="00113AC6" w:rsidRPr="00844541">
        <w:rPr>
          <w:lang w:val="fr-FR"/>
        </w:rPr>
        <w:t>était</w:t>
      </w:r>
      <w:r w:rsidR="0012318B" w:rsidRPr="00844541">
        <w:rPr>
          <w:lang w:val="fr-FR"/>
        </w:rPr>
        <w:t xml:space="preserve"> justifiée et proportionnée.</w:t>
      </w:r>
      <w:r w:rsidR="001E6B4B" w:rsidRPr="00844541">
        <w:rPr>
          <w:lang w:val="fr-FR"/>
        </w:rPr>
        <w:t xml:space="preserve"> </w:t>
      </w:r>
      <w:r w:rsidR="0012318B" w:rsidRPr="00844541">
        <w:rPr>
          <w:lang w:val="fr-FR"/>
        </w:rPr>
        <w:t xml:space="preserve">Il </w:t>
      </w:r>
      <w:r w:rsidR="00113AC6" w:rsidRPr="00844541">
        <w:rPr>
          <w:lang w:val="fr-FR"/>
        </w:rPr>
        <w:t xml:space="preserve">expose </w:t>
      </w:r>
      <w:r w:rsidR="0012318B" w:rsidRPr="00844541">
        <w:rPr>
          <w:lang w:val="fr-FR"/>
        </w:rPr>
        <w:t>qu</w:t>
      </w:r>
      <w:r w:rsidR="00844541">
        <w:rPr>
          <w:lang w:val="fr-FR"/>
        </w:rPr>
        <w:t>’</w:t>
      </w:r>
      <w:r w:rsidR="0012318B" w:rsidRPr="00844541">
        <w:rPr>
          <w:lang w:val="fr-FR"/>
        </w:rPr>
        <w:t>il ne faut pas perdre de vue le caractère spécial de</w:t>
      </w:r>
      <w:r w:rsidR="00E9355C" w:rsidRPr="00844541">
        <w:rPr>
          <w:lang w:val="fr-FR"/>
        </w:rPr>
        <w:t xml:space="preserve"> l</w:t>
      </w:r>
      <w:r w:rsidR="00844541">
        <w:rPr>
          <w:lang w:val="fr-FR"/>
        </w:rPr>
        <w:t>’</w:t>
      </w:r>
      <w:r w:rsidR="0012318B" w:rsidRPr="00844541">
        <w:rPr>
          <w:lang w:val="fr-FR"/>
        </w:rPr>
        <w:t>affaire et la qualité des parties</w:t>
      </w:r>
      <w:r w:rsidR="00113AC6" w:rsidRPr="00844541">
        <w:rPr>
          <w:lang w:val="fr-FR"/>
        </w:rPr>
        <w:t>,</w:t>
      </w:r>
      <w:r w:rsidR="0012318B" w:rsidRPr="00844541">
        <w:rPr>
          <w:lang w:val="fr-FR"/>
        </w:rPr>
        <w:t xml:space="preserve"> des communautés religieuses</w:t>
      </w:r>
      <w:r w:rsidR="00465A0D" w:rsidRPr="00844541">
        <w:rPr>
          <w:lang w:val="fr-FR"/>
        </w:rPr>
        <w:t>,</w:t>
      </w:r>
      <w:r w:rsidR="0012318B" w:rsidRPr="00844541">
        <w:rPr>
          <w:lang w:val="fr-FR"/>
        </w:rPr>
        <w:t xml:space="preserve"> </w:t>
      </w:r>
      <w:r w:rsidR="00C023B0" w:rsidRPr="00844541">
        <w:rPr>
          <w:lang w:val="fr-FR"/>
        </w:rPr>
        <w:t xml:space="preserve">qui </w:t>
      </w:r>
      <w:r w:rsidR="00465A0D" w:rsidRPr="00844541">
        <w:rPr>
          <w:lang w:val="fr-FR"/>
        </w:rPr>
        <w:t>sont</w:t>
      </w:r>
      <w:r w:rsidR="00C023B0" w:rsidRPr="00844541">
        <w:rPr>
          <w:lang w:val="fr-FR"/>
        </w:rPr>
        <w:t>,</w:t>
      </w:r>
      <w:r w:rsidR="00113AC6" w:rsidRPr="00844541">
        <w:rPr>
          <w:lang w:val="fr-FR"/>
        </w:rPr>
        <w:t xml:space="preserve"> selon lui</w:t>
      </w:r>
      <w:r w:rsidR="00C023B0" w:rsidRPr="00844541">
        <w:rPr>
          <w:lang w:val="fr-FR"/>
        </w:rPr>
        <w:t>,</w:t>
      </w:r>
      <w:r w:rsidR="0012318B" w:rsidRPr="00844541">
        <w:rPr>
          <w:lang w:val="fr-FR"/>
        </w:rPr>
        <w:t xml:space="preserve"> </w:t>
      </w:r>
      <w:r w:rsidR="00465A0D" w:rsidRPr="00844541">
        <w:rPr>
          <w:lang w:val="fr-FR"/>
        </w:rPr>
        <w:t xml:space="preserve">guidées </w:t>
      </w:r>
      <w:r w:rsidR="0012318B" w:rsidRPr="00844541">
        <w:rPr>
          <w:lang w:val="fr-FR"/>
        </w:rPr>
        <w:t xml:space="preserve">par des principes de tolérance et </w:t>
      </w:r>
      <w:r w:rsidR="00E9355C" w:rsidRPr="00844541">
        <w:rPr>
          <w:lang w:val="fr-FR"/>
        </w:rPr>
        <w:t>d</w:t>
      </w:r>
      <w:r w:rsidR="00844541">
        <w:rPr>
          <w:lang w:val="fr-FR"/>
        </w:rPr>
        <w:t>’</w:t>
      </w:r>
      <w:r w:rsidR="0012318B" w:rsidRPr="00844541">
        <w:rPr>
          <w:lang w:val="fr-FR"/>
        </w:rPr>
        <w:t xml:space="preserve">entente interconfessionnelles. </w:t>
      </w:r>
      <w:r w:rsidR="00113AC6" w:rsidRPr="00844541">
        <w:rPr>
          <w:lang w:val="fr-FR"/>
        </w:rPr>
        <w:t>Il estime que l</w:t>
      </w:r>
      <w:r w:rsidR="00844541">
        <w:rPr>
          <w:lang w:val="fr-FR"/>
        </w:rPr>
        <w:t>’</w:t>
      </w:r>
      <w:r w:rsidR="00113AC6" w:rsidRPr="00844541">
        <w:rPr>
          <w:lang w:val="fr-FR"/>
        </w:rPr>
        <w:t xml:space="preserve">intervention </w:t>
      </w:r>
      <w:r w:rsidR="0012318B" w:rsidRPr="00844541">
        <w:rPr>
          <w:lang w:val="fr-FR"/>
        </w:rPr>
        <w:t>de l</w:t>
      </w:r>
      <w:r w:rsidR="00844541">
        <w:rPr>
          <w:lang w:val="fr-FR"/>
        </w:rPr>
        <w:t>’</w:t>
      </w:r>
      <w:r w:rsidR="0012318B" w:rsidRPr="00844541">
        <w:rPr>
          <w:lang w:val="fr-FR"/>
        </w:rPr>
        <w:t>État dans la réglementation de l</w:t>
      </w:r>
      <w:r w:rsidR="00844541">
        <w:rPr>
          <w:lang w:val="fr-FR"/>
        </w:rPr>
        <w:t>’</w:t>
      </w:r>
      <w:r w:rsidR="0012318B" w:rsidRPr="00844541">
        <w:rPr>
          <w:lang w:val="fr-FR"/>
        </w:rPr>
        <w:t>usage des biens religieux doit être minimale</w:t>
      </w:r>
      <w:r w:rsidR="00113AC6" w:rsidRPr="00844541">
        <w:rPr>
          <w:lang w:val="fr-FR"/>
        </w:rPr>
        <w:t xml:space="preserve"> </w:t>
      </w:r>
      <w:r w:rsidR="00D85D8B" w:rsidRPr="00844541">
        <w:rPr>
          <w:lang w:val="fr-FR"/>
        </w:rPr>
        <w:t>dès lors qu</w:t>
      </w:r>
      <w:r w:rsidR="00844541">
        <w:rPr>
          <w:lang w:val="fr-FR"/>
        </w:rPr>
        <w:t>’</w:t>
      </w:r>
      <w:r w:rsidR="00113AC6" w:rsidRPr="00844541">
        <w:rPr>
          <w:lang w:val="fr-FR"/>
        </w:rPr>
        <w:t>elle doit</w:t>
      </w:r>
      <w:r w:rsidR="0012318B" w:rsidRPr="00844541">
        <w:rPr>
          <w:lang w:val="fr-FR"/>
        </w:rPr>
        <w:t xml:space="preserve"> respecter le principe de neutralité envers les communautés religieuses. </w:t>
      </w:r>
      <w:r w:rsidR="00D85D8B" w:rsidRPr="00844541">
        <w:rPr>
          <w:lang w:val="fr-FR"/>
        </w:rPr>
        <w:t>Le Gouvernement</w:t>
      </w:r>
      <w:r w:rsidR="0012318B" w:rsidRPr="00844541">
        <w:rPr>
          <w:lang w:val="fr-FR"/>
        </w:rPr>
        <w:t xml:space="preserve"> relève ensuite que les tribunaux internes ont rejeté l</w:t>
      </w:r>
      <w:r w:rsidR="00844541">
        <w:rPr>
          <w:lang w:val="fr-FR"/>
        </w:rPr>
        <w:t>’</w:t>
      </w:r>
      <w:r w:rsidR="0012318B" w:rsidRPr="00844541">
        <w:rPr>
          <w:lang w:val="fr-FR"/>
        </w:rPr>
        <w:t xml:space="preserve">action des requérants </w:t>
      </w:r>
      <w:r w:rsidR="00113AC6" w:rsidRPr="00844541">
        <w:rPr>
          <w:lang w:val="fr-FR"/>
        </w:rPr>
        <w:t xml:space="preserve">non pas </w:t>
      </w:r>
      <w:r w:rsidR="0012318B" w:rsidRPr="00844541">
        <w:rPr>
          <w:lang w:val="fr-FR"/>
        </w:rPr>
        <w:t xml:space="preserve">comme irrecevable mais comme mal fondée, </w:t>
      </w:r>
      <w:r w:rsidR="00113AC6" w:rsidRPr="00844541">
        <w:rPr>
          <w:lang w:val="fr-FR"/>
        </w:rPr>
        <w:t>après avoir, selon l</w:t>
      </w:r>
      <w:r w:rsidR="00D85D8B" w:rsidRPr="00844541">
        <w:rPr>
          <w:lang w:val="fr-FR"/>
        </w:rPr>
        <w:t>ui</w:t>
      </w:r>
      <w:r w:rsidR="00113AC6" w:rsidRPr="00844541">
        <w:rPr>
          <w:lang w:val="fr-FR"/>
        </w:rPr>
        <w:t>,</w:t>
      </w:r>
      <w:r w:rsidR="0012318B" w:rsidRPr="00844541">
        <w:rPr>
          <w:lang w:val="fr-FR"/>
        </w:rPr>
        <w:t xml:space="preserve"> </w:t>
      </w:r>
      <w:r w:rsidR="00C023B0" w:rsidRPr="00844541">
        <w:rPr>
          <w:lang w:val="fr-FR"/>
        </w:rPr>
        <w:t>procédé à</w:t>
      </w:r>
      <w:r w:rsidR="00113AC6" w:rsidRPr="00844541">
        <w:rPr>
          <w:lang w:val="fr-FR"/>
        </w:rPr>
        <w:t xml:space="preserve"> </w:t>
      </w:r>
      <w:r w:rsidR="0012318B" w:rsidRPr="00844541">
        <w:rPr>
          <w:lang w:val="fr-FR"/>
        </w:rPr>
        <w:t xml:space="preserve">une analyse </w:t>
      </w:r>
      <w:r w:rsidR="00373E7D" w:rsidRPr="00844541">
        <w:rPr>
          <w:lang w:val="fr-FR"/>
        </w:rPr>
        <w:t xml:space="preserve">comparative </w:t>
      </w:r>
      <w:r w:rsidR="0012318B" w:rsidRPr="00844541">
        <w:rPr>
          <w:lang w:val="fr-FR"/>
        </w:rPr>
        <w:t xml:space="preserve">des titres de propriété et </w:t>
      </w:r>
      <w:r w:rsidR="00113AC6" w:rsidRPr="00844541">
        <w:rPr>
          <w:lang w:val="fr-FR"/>
        </w:rPr>
        <w:t>donné la</w:t>
      </w:r>
      <w:r w:rsidR="0012318B" w:rsidRPr="00844541">
        <w:rPr>
          <w:lang w:val="fr-FR"/>
        </w:rPr>
        <w:t xml:space="preserve"> préférence à celui présenté par la partie défenderesse.</w:t>
      </w:r>
    </w:p>
    <w:p w:rsidR="00B43D08"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64</w:t>
      </w:r>
      <w:r w:rsidRPr="00844541">
        <w:rPr>
          <w:noProof/>
        </w:rPr>
        <w:fldChar w:fldCharType="end"/>
      </w:r>
      <w:r w:rsidR="0012318B" w:rsidRPr="00844541">
        <w:rPr>
          <w:lang w:val="fr-FR"/>
        </w:rPr>
        <w:t>.  </w:t>
      </w:r>
      <w:r w:rsidR="00E9355C" w:rsidRPr="00844541">
        <w:rPr>
          <w:lang w:val="fr-FR"/>
        </w:rPr>
        <w:t>Dans ses observations complémentaires, l</w:t>
      </w:r>
      <w:r w:rsidR="0012318B" w:rsidRPr="00844541">
        <w:rPr>
          <w:lang w:val="fr-FR"/>
        </w:rPr>
        <w:t xml:space="preserve">e Gouvernement </w:t>
      </w:r>
      <w:r w:rsidR="00113AC6" w:rsidRPr="00844541">
        <w:rPr>
          <w:lang w:val="fr-FR"/>
        </w:rPr>
        <w:t xml:space="preserve">revient </w:t>
      </w:r>
      <w:r w:rsidR="0012318B" w:rsidRPr="00844541">
        <w:rPr>
          <w:lang w:val="fr-FR"/>
        </w:rPr>
        <w:t>sur les arguments tenant aux circonstances de l</w:t>
      </w:r>
      <w:r w:rsidR="00844541">
        <w:rPr>
          <w:lang w:val="fr-FR"/>
        </w:rPr>
        <w:t>’</w:t>
      </w:r>
      <w:r w:rsidR="0012318B" w:rsidRPr="00844541">
        <w:rPr>
          <w:lang w:val="fr-FR"/>
        </w:rPr>
        <w:t>affaire et ayant conduit tant la juridiction d</w:t>
      </w:r>
      <w:r w:rsidR="00844541">
        <w:rPr>
          <w:lang w:val="fr-FR"/>
        </w:rPr>
        <w:t>’</w:t>
      </w:r>
      <w:r w:rsidR="0012318B" w:rsidRPr="00844541">
        <w:rPr>
          <w:lang w:val="fr-FR"/>
        </w:rPr>
        <w:t>appel que celle de recours à rejeter l</w:t>
      </w:r>
      <w:r w:rsidR="00844541">
        <w:rPr>
          <w:lang w:val="fr-FR"/>
        </w:rPr>
        <w:t>’</w:t>
      </w:r>
      <w:r w:rsidR="0012318B" w:rsidRPr="00844541">
        <w:rPr>
          <w:lang w:val="fr-FR"/>
        </w:rPr>
        <w:t>action</w:t>
      </w:r>
      <w:r w:rsidR="0062088F" w:rsidRPr="00844541">
        <w:rPr>
          <w:lang w:val="fr-FR"/>
        </w:rPr>
        <w:t xml:space="preserve"> des requérants</w:t>
      </w:r>
      <w:r w:rsidR="0012318B" w:rsidRPr="00844541">
        <w:rPr>
          <w:lang w:val="fr-FR"/>
        </w:rPr>
        <w:t xml:space="preserve">. </w:t>
      </w:r>
      <w:r w:rsidR="0062088F" w:rsidRPr="00844541">
        <w:rPr>
          <w:lang w:val="fr-FR"/>
        </w:rPr>
        <w:t xml:space="preserve">Il </w:t>
      </w:r>
      <w:r w:rsidR="00113AC6" w:rsidRPr="00844541">
        <w:rPr>
          <w:lang w:val="fr-FR"/>
        </w:rPr>
        <w:t xml:space="preserve">ajoute </w:t>
      </w:r>
      <w:r w:rsidR="0062088F" w:rsidRPr="00844541">
        <w:rPr>
          <w:lang w:val="fr-FR"/>
        </w:rPr>
        <w:t xml:space="preserve">que ces </w:t>
      </w:r>
      <w:r w:rsidR="00E9355C" w:rsidRPr="00844541">
        <w:rPr>
          <w:lang w:val="fr-FR"/>
        </w:rPr>
        <w:t>juridictions</w:t>
      </w:r>
      <w:r w:rsidR="0012318B" w:rsidRPr="00844541">
        <w:rPr>
          <w:lang w:val="fr-FR"/>
        </w:rPr>
        <w:t xml:space="preserve"> ont recherché dans l</w:t>
      </w:r>
      <w:r w:rsidR="00844541">
        <w:rPr>
          <w:lang w:val="fr-FR"/>
        </w:rPr>
        <w:t>’</w:t>
      </w:r>
      <w:r w:rsidR="0012318B" w:rsidRPr="00844541">
        <w:rPr>
          <w:lang w:val="fr-FR"/>
        </w:rPr>
        <w:t>histoire de l</w:t>
      </w:r>
      <w:r w:rsidR="00844541">
        <w:rPr>
          <w:lang w:val="fr-FR"/>
        </w:rPr>
        <w:t>’</w:t>
      </w:r>
      <w:r w:rsidR="0012318B" w:rsidRPr="00844541">
        <w:rPr>
          <w:lang w:val="fr-FR"/>
        </w:rPr>
        <w:t>édification de l</w:t>
      </w:r>
      <w:r w:rsidR="00844541">
        <w:rPr>
          <w:lang w:val="fr-FR"/>
        </w:rPr>
        <w:t>’</w:t>
      </w:r>
      <w:r w:rsidR="0012318B" w:rsidRPr="00844541">
        <w:rPr>
          <w:lang w:val="fr-FR"/>
        </w:rPr>
        <w:t xml:space="preserve">église </w:t>
      </w:r>
      <w:r w:rsidR="000262DC" w:rsidRPr="00844541">
        <w:rPr>
          <w:lang w:val="fr-FR"/>
        </w:rPr>
        <w:t xml:space="preserve">des </w:t>
      </w:r>
      <w:r w:rsidR="00E9355C" w:rsidRPr="00844541">
        <w:rPr>
          <w:lang w:val="fr-FR"/>
        </w:rPr>
        <w:t>éléments à prendre en considération pour dé</w:t>
      </w:r>
      <w:r w:rsidR="00373E7D" w:rsidRPr="00844541">
        <w:rPr>
          <w:lang w:val="fr-FR"/>
        </w:rPr>
        <w:t>terminer</w:t>
      </w:r>
      <w:r w:rsidR="00E9355C" w:rsidRPr="00844541">
        <w:rPr>
          <w:lang w:val="fr-FR"/>
        </w:rPr>
        <w:t xml:space="preserve"> </w:t>
      </w:r>
      <w:r w:rsidR="00373E7D" w:rsidRPr="00844541">
        <w:rPr>
          <w:lang w:val="fr-FR"/>
        </w:rPr>
        <w:t>quelle était</w:t>
      </w:r>
      <w:r w:rsidR="00E9355C" w:rsidRPr="00844541">
        <w:rPr>
          <w:lang w:val="fr-FR"/>
        </w:rPr>
        <w:t xml:space="preserve"> la volonté des </w:t>
      </w:r>
      <w:r w:rsidR="00373E7D" w:rsidRPr="00844541">
        <w:rPr>
          <w:lang w:val="fr-FR"/>
        </w:rPr>
        <w:t>fidèles</w:t>
      </w:r>
      <w:r w:rsidR="00E9355C" w:rsidRPr="00844541">
        <w:rPr>
          <w:lang w:val="fr-FR"/>
        </w:rPr>
        <w:t>.</w:t>
      </w:r>
    </w:p>
    <w:p w:rsidR="009431DE" w:rsidRPr="00844541" w:rsidRDefault="009431DE" w:rsidP="00844541">
      <w:pPr>
        <w:pStyle w:val="ECHRHeading4"/>
      </w:pPr>
      <w:r w:rsidRPr="00844541">
        <w:t>b)</w:t>
      </w:r>
      <w:r w:rsidR="00C37E41" w:rsidRPr="00844541">
        <w:t>  </w:t>
      </w:r>
      <w:r w:rsidRPr="00844541">
        <w:t>L</w:t>
      </w:r>
      <w:r w:rsidR="00844541">
        <w:t>’</w:t>
      </w:r>
      <w:r w:rsidRPr="00844541">
        <w:t>appréciation de la Cour</w:t>
      </w:r>
    </w:p>
    <w:p w:rsidR="00432085" w:rsidRPr="00844541" w:rsidRDefault="00432085" w:rsidP="00844541">
      <w:pPr>
        <w:pStyle w:val="ECHRHeading5"/>
      </w:pPr>
      <w:r w:rsidRPr="00844541">
        <w:t>i.</w:t>
      </w:r>
      <w:r w:rsidR="00C37E41" w:rsidRPr="00844541">
        <w:t>  </w:t>
      </w:r>
      <w:r w:rsidRPr="00844541">
        <w:t>Les principes applicables</w:t>
      </w:r>
    </w:p>
    <w:p w:rsidR="004807D3" w:rsidRPr="00844541" w:rsidRDefault="00D01A28" w:rsidP="00844541">
      <w:pPr>
        <w:pStyle w:val="ECHRPara"/>
        <w:rPr>
          <w:i/>
          <w:lang w:val="it-IT"/>
        </w:rPr>
      </w:pPr>
      <w:r w:rsidRPr="00844541">
        <w:fldChar w:fldCharType="begin"/>
      </w:r>
      <w:r w:rsidRPr="00844541">
        <w:rPr>
          <w:lang w:val="fr-FR"/>
        </w:rPr>
        <w:instrText xml:space="preserve"> SEQ level0 \*arabic </w:instrText>
      </w:r>
      <w:r w:rsidRPr="00844541">
        <w:fldChar w:fldCharType="separate"/>
      </w:r>
      <w:r w:rsidR="00767866">
        <w:rPr>
          <w:noProof/>
          <w:lang w:val="fr-FR"/>
        </w:rPr>
        <w:t>65</w:t>
      </w:r>
      <w:r w:rsidRPr="00844541">
        <w:rPr>
          <w:noProof/>
        </w:rPr>
        <w:fldChar w:fldCharType="end"/>
      </w:r>
      <w:r w:rsidR="00723E95" w:rsidRPr="00844541">
        <w:rPr>
          <w:lang w:val="fr-FR"/>
        </w:rPr>
        <w:t>.  </w:t>
      </w:r>
      <w:r w:rsidR="004807D3" w:rsidRPr="00844541">
        <w:rPr>
          <w:lang w:val="fr-FR"/>
        </w:rPr>
        <w:t>La Cour rappelle que l</w:t>
      </w:r>
      <w:r w:rsidR="00844541">
        <w:rPr>
          <w:lang w:val="fr-FR"/>
        </w:rPr>
        <w:t>’</w:t>
      </w:r>
      <w:r w:rsidR="004807D3" w:rsidRPr="00844541">
        <w:rPr>
          <w:lang w:val="fr-FR"/>
        </w:rPr>
        <w:t>article 6 de la Convention garantit à chacun le « droit à un tribunal », dont le droit d</w:t>
      </w:r>
      <w:r w:rsidR="00844541">
        <w:rPr>
          <w:lang w:val="fr-FR"/>
        </w:rPr>
        <w:t>’</w:t>
      </w:r>
      <w:r w:rsidR="004807D3" w:rsidRPr="00844541">
        <w:rPr>
          <w:lang w:val="fr-FR"/>
        </w:rPr>
        <w:t>accès, à savoir le droit de saisir un tribunal en matière civile, constitue un aspect. Ce droit n</w:t>
      </w:r>
      <w:r w:rsidR="00844541">
        <w:rPr>
          <w:lang w:val="fr-FR"/>
        </w:rPr>
        <w:t>’</w:t>
      </w:r>
      <w:r w:rsidR="004807D3" w:rsidRPr="00844541">
        <w:rPr>
          <w:lang w:val="fr-FR"/>
        </w:rPr>
        <w:t>est pas absolu ; il se prête à des limitations implicitement admises, car il commande de par sa nature même une réglementation de l</w:t>
      </w:r>
      <w:r w:rsidR="00844541">
        <w:rPr>
          <w:lang w:val="fr-FR"/>
        </w:rPr>
        <w:t>’</w:t>
      </w:r>
      <w:r w:rsidR="004807D3" w:rsidRPr="00844541">
        <w:rPr>
          <w:lang w:val="fr-FR"/>
        </w:rPr>
        <w:t>État. Toutefois, même si les États contractants jouissent d</w:t>
      </w:r>
      <w:r w:rsidR="00844541">
        <w:rPr>
          <w:lang w:val="fr-FR"/>
        </w:rPr>
        <w:t>’</w:t>
      </w:r>
      <w:r w:rsidR="004807D3" w:rsidRPr="00844541">
        <w:rPr>
          <w:lang w:val="fr-FR"/>
        </w:rPr>
        <w:t>une certaine marge d</w:t>
      </w:r>
      <w:r w:rsidR="00844541">
        <w:rPr>
          <w:lang w:val="fr-FR"/>
        </w:rPr>
        <w:t>’</w:t>
      </w:r>
      <w:r w:rsidR="004807D3" w:rsidRPr="00844541">
        <w:rPr>
          <w:lang w:val="fr-FR"/>
        </w:rPr>
        <w:t>appréciation en la matière, il appartient à la Cour de statuer en dernier ressort sur le respect des exigences de la Convention (</w:t>
      </w:r>
      <w:r w:rsidR="0072626C" w:rsidRPr="00844541">
        <w:rPr>
          <w:i/>
          <w:lang w:val="it-IT"/>
        </w:rPr>
        <w:t xml:space="preserve">Stanev c. Bulgarie </w:t>
      </w:r>
      <w:r w:rsidR="0072626C" w:rsidRPr="00844541">
        <w:rPr>
          <w:lang w:val="it-IT"/>
        </w:rPr>
        <w:t>[GC], n</w:t>
      </w:r>
      <w:r w:rsidR="0072626C" w:rsidRPr="00844541">
        <w:rPr>
          <w:vertAlign w:val="superscript"/>
          <w:lang w:val="it-IT"/>
        </w:rPr>
        <w:t>o</w:t>
      </w:r>
      <w:r w:rsidR="0072626C" w:rsidRPr="00844541">
        <w:rPr>
          <w:lang w:val="it-IT"/>
        </w:rPr>
        <w:t xml:space="preserve"> 36760/06</w:t>
      </w:r>
      <w:r w:rsidR="0072626C" w:rsidRPr="00844541">
        <w:rPr>
          <w:snapToGrid w:val="0"/>
          <w:szCs w:val="24"/>
          <w:lang w:val="it-IT"/>
        </w:rPr>
        <w:t xml:space="preserve">, § 230, </w:t>
      </w:r>
      <w:r w:rsidR="0072626C" w:rsidRPr="00844541">
        <w:rPr>
          <w:snapToGrid w:val="0"/>
          <w:lang w:val="it-IT"/>
        </w:rPr>
        <w:t>CEDH 2012</w:t>
      </w:r>
      <w:r w:rsidR="004807D3" w:rsidRPr="00844541">
        <w:rPr>
          <w:lang w:val="fr-FR"/>
        </w:rPr>
        <w:t>). Les limitations imposées ne doivent en aucun cas restreindre l</w:t>
      </w:r>
      <w:r w:rsidR="00844541">
        <w:rPr>
          <w:lang w:val="fr-FR"/>
        </w:rPr>
        <w:t>’</w:t>
      </w:r>
      <w:r w:rsidR="004807D3" w:rsidRPr="00844541">
        <w:rPr>
          <w:lang w:val="fr-FR"/>
        </w:rPr>
        <w:t>accès ouvert à un justiciable de manière ou à un point tels que le droit d</w:t>
      </w:r>
      <w:r w:rsidR="00844541">
        <w:rPr>
          <w:lang w:val="fr-FR"/>
        </w:rPr>
        <w:t>’</w:t>
      </w:r>
      <w:r w:rsidR="004807D3" w:rsidRPr="00844541">
        <w:rPr>
          <w:lang w:val="fr-FR"/>
        </w:rPr>
        <w:t>accès à la justice s</w:t>
      </w:r>
      <w:r w:rsidR="00844541">
        <w:rPr>
          <w:lang w:val="fr-FR"/>
        </w:rPr>
        <w:t>’</w:t>
      </w:r>
      <w:r w:rsidR="004807D3" w:rsidRPr="00844541">
        <w:rPr>
          <w:lang w:val="fr-FR"/>
        </w:rPr>
        <w:t>en trouve atteint dans sa substance même (</w:t>
      </w:r>
      <w:r w:rsidR="004807D3" w:rsidRPr="00844541">
        <w:rPr>
          <w:i/>
          <w:lang w:val="fr-FR"/>
        </w:rPr>
        <w:t>Stagno c. Belgique</w:t>
      </w:r>
      <w:r w:rsidR="004807D3" w:rsidRPr="00844541">
        <w:rPr>
          <w:lang w:val="fr-FR"/>
        </w:rPr>
        <w:t>, n</w:t>
      </w:r>
      <w:r w:rsidR="004807D3" w:rsidRPr="00844541">
        <w:rPr>
          <w:vertAlign w:val="superscript"/>
          <w:lang w:val="fr-FR"/>
        </w:rPr>
        <w:t>o</w:t>
      </w:r>
      <w:r w:rsidR="00705D7A" w:rsidRPr="00844541">
        <w:rPr>
          <w:lang w:val="fr-FR"/>
        </w:rPr>
        <w:t> </w:t>
      </w:r>
      <w:r w:rsidR="004807D3" w:rsidRPr="00844541">
        <w:rPr>
          <w:lang w:val="fr-FR"/>
        </w:rPr>
        <w:t>1062/07</w:t>
      </w:r>
      <w:r w:rsidR="004807D3" w:rsidRPr="00844541">
        <w:rPr>
          <w:snapToGrid w:val="0"/>
          <w:lang w:val="fr-FR"/>
        </w:rPr>
        <w:t xml:space="preserve">, § 25, 7 </w:t>
      </w:r>
      <w:r w:rsidR="004807D3" w:rsidRPr="00844541">
        <w:rPr>
          <w:lang w:val="fr-FR"/>
        </w:rPr>
        <w:t>juillet</w:t>
      </w:r>
      <w:r w:rsidR="004807D3" w:rsidRPr="00844541">
        <w:rPr>
          <w:snapToGrid w:val="0"/>
          <w:lang w:val="fr-FR"/>
        </w:rPr>
        <w:t xml:space="preserve"> 2009</w:t>
      </w:r>
      <w:r w:rsidR="007D2317" w:rsidRPr="00844541">
        <w:rPr>
          <w:snapToGrid w:val="0"/>
          <w:lang w:val="fr-FR"/>
        </w:rPr>
        <w:t>,</w:t>
      </w:r>
      <w:r w:rsidR="00705D7A" w:rsidRPr="00844541">
        <w:rPr>
          <w:snapToGrid w:val="0"/>
          <w:lang w:val="fr-FR"/>
        </w:rPr>
        <w:t xml:space="preserve"> et </w:t>
      </w:r>
      <w:r w:rsidR="00705D7A" w:rsidRPr="00844541">
        <w:rPr>
          <w:i/>
          <w:snapToGrid w:val="0"/>
          <w:lang w:val="fr-FR"/>
        </w:rPr>
        <w:t>Stanev</w:t>
      </w:r>
      <w:r w:rsidR="00705D7A" w:rsidRPr="00844541">
        <w:rPr>
          <w:snapToGrid w:val="0"/>
          <w:lang w:val="fr-FR"/>
        </w:rPr>
        <w:t xml:space="preserve"> précité, § 230</w:t>
      </w:r>
      <w:r w:rsidR="004807D3" w:rsidRPr="00844541">
        <w:rPr>
          <w:lang w:val="fr-FR"/>
        </w:rPr>
        <w:t>).</w:t>
      </w:r>
    </w:p>
    <w:p w:rsidR="00B43D08" w:rsidRPr="00844541" w:rsidRDefault="004807D3" w:rsidP="00844541">
      <w:pPr>
        <w:pStyle w:val="ECHRPara"/>
        <w:rPr>
          <w:lang w:val="fr-FR"/>
        </w:rPr>
      </w:pPr>
      <w:r w:rsidRPr="00844541">
        <w:lastRenderedPageBreak/>
        <w:fldChar w:fldCharType="begin"/>
      </w:r>
      <w:r w:rsidRPr="00844541">
        <w:rPr>
          <w:lang w:val="fr-FR"/>
        </w:rPr>
        <w:instrText xml:space="preserve"> SEQ level0 \*arabic </w:instrText>
      </w:r>
      <w:r w:rsidRPr="00844541">
        <w:fldChar w:fldCharType="separate"/>
      </w:r>
      <w:r w:rsidR="00767866">
        <w:rPr>
          <w:noProof/>
          <w:lang w:val="fr-FR"/>
        </w:rPr>
        <w:t>66</w:t>
      </w:r>
      <w:r w:rsidRPr="00844541">
        <w:fldChar w:fldCharType="end"/>
      </w:r>
      <w:r w:rsidRPr="00844541">
        <w:rPr>
          <w:lang w:val="fr-FR"/>
        </w:rPr>
        <w:t xml:space="preserve">.  La Cour </w:t>
      </w:r>
      <w:r w:rsidR="007D2317" w:rsidRPr="00844541">
        <w:rPr>
          <w:lang w:val="fr-FR"/>
        </w:rPr>
        <w:t>rappelle ensuite qu</w:t>
      </w:r>
      <w:r w:rsidR="00844541">
        <w:rPr>
          <w:lang w:val="fr-FR"/>
        </w:rPr>
        <w:t>’</w:t>
      </w:r>
      <w:r w:rsidR="007D2317" w:rsidRPr="00844541">
        <w:rPr>
          <w:lang w:val="fr-FR"/>
        </w:rPr>
        <w:t xml:space="preserve">elle </w:t>
      </w:r>
      <w:r w:rsidRPr="00844541">
        <w:rPr>
          <w:lang w:val="fr-FR"/>
        </w:rPr>
        <w:t>n</w:t>
      </w:r>
      <w:r w:rsidR="00844541">
        <w:rPr>
          <w:lang w:val="fr-FR"/>
        </w:rPr>
        <w:t>’</w:t>
      </w:r>
      <w:r w:rsidRPr="00844541">
        <w:rPr>
          <w:lang w:val="fr-FR"/>
        </w:rPr>
        <w:t>a pas pour tâche de se substituer aux juridictions internes : c</w:t>
      </w:r>
      <w:r w:rsidR="00844541">
        <w:rPr>
          <w:lang w:val="fr-FR"/>
        </w:rPr>
        <w:t>’</w:t>
      </w:r>
      <w:r w:rsidRPr="00844541">
        <w:rPr>
          <w:lang w:val="fr-FR"/>
        </w:rPr>
        <w:t>est au premier chef aux autorités nationales, et notamment aux cours et tribunaux, qu</w:t>
      </w:r>
      <w:r w:rsidR="00844541">
        <w:rPr>
          <w:lang w:val="fr-FR"/>
        </w:rPr>
        <w:t>’</w:t>
      </w:r>
      <w:r w:rsidRPr="00844541">
        <w:rPr>
          <w:lang w:val="fr-FR"/>
        </w:rPr>
        <w:t>il incombe d</w:t>
      </w:r>
      <w:r w:rsidR="00844541">
        <w:rPr>
          <w:lang w:val="fr-FR"/>
        </w:rPr>
        <w:t>’</w:t>
      </w:r>
      <w:r w:rsidRPr="00844541">
        <w:rPr>
          <w:lang w:val="fr-FR"/>
        </w:rPr>
        <w:t>interpréter la législation interne (voir, parmi beaucoup d</w:t>
      </w:r>
      <w:r w:rsidR="00844541">
        <w:rPr>
          <w:lang w:val="fr-FR"/>
        </w:rPr>
        <w:t>’</w:t>
      </w:r>
      <w:r w:rsidRPr="00844541">
        <w:rPr>
          <w:lang w:val="fr-FR"/>
        </w:rPr>
        <w:t xml:space="preserve">autres, </w:t>
      </w:r>
      <w:r w:rsidR="00DE541D" w:rsidRPr="00844541">
        <w:rPr>
          <w:i/>
          <w:lang w:val="fr-FR"/>
        </w:rPr>
        <w:t xml:space="preserve">Brualla </w:t>
      </w:r>
      <w:r w:rsidR="00C800CF" w:rsidRPr="00844541">
        <w:rPr>
          <w:i/>
          <w:lang w:val="fr-FR"/>
        </w:rPr>
        <w:t>Gómez</w:t>
      </w:r>
      <w:r w:rsidR="00DE541D" w:rsidRPr="00844541">
        <w:rPr>
          <w:i/>
          <w:lang w:val="fr-FR"/>
        </w:rPr>
        <w:t xml:space="preserve"> </w:t>
      </w:r>
      <w:r w:rsidR="00C800CF" w:rsidRPr="00844541">
        <w:rPr>
          <w:i/>
          <w:lang w:val="fr-FR"/>
        </w:rPr>
        <w:t>de</w:t>
      </w:r>
      <w:r w:rsidR="00DE541D" w:rsidRPr="00844541">
        <w:rPr>
          <w:i/>
          <w:lang w:val="fr-FR"/>
        </w:rPr>
        <w:t xml:space="preserve"> </w:t>
      </w:r>
      <w:r w:rsidR="00C800CF" w:rsidRPr="00844541">
        <w:rPr>
          <w:i/>
          <w:lang w:val="fr-FR"/>
        </w:rPr>
        <w:t>la</w:t>
      </w:r>
      <w:r w:rsidR="00DE541D" w:rsidRPr="00844541">
        <w:rPr>
          <w:i/>
          <w:lang w:val="fr-FR"/>
        </w:rPr>
        <w:t xml:space="preserve"> </w:t>
      </w:r>
      <w:r w:rsidR="00C800CF" w:rsidRPr="00844541">
        <w:rPr>
          <w:i/>
          <w:lang w:val="fr-FR"/>
        </w:rPr>
        <w:t>Torre</w:t>
      </w:r>
      <w:r w:rsidR="00DE541D" w:rsidRPr="00844541">
        <w:rPr>
          <w:i/>
          <w:lang w:val="fr-FR"/>
        </w:rPr>
        <w:t xml:space="preserve"> </w:t>
      </w:r>
      <w:r w:rsidR="00BC54BC" w:rsidRPr="00844541">
        <w:rPr>
          <w:i/>
          <w:lang w:val="fr-FR"/>
        </w:rPr>
        <w:t>c</w:t>
      </w:r>
      <w:r w:rsidR="007D2317" w:rsidRPr="00844541">
        <w:rPr>
          <w:i/>
          <w:lang w:val="fr-FR"/>
        </w:rPr>
        <w:t>. </w:t>
      </w:r>
      <w:r w:rsidR="00BC54BC" w:rsidRPr="00844541">
        <w:rPr>
          <w:i/>
          <w:lang w:val="fr-FR"/>
        </w:rPr>
        <w:t>Espagne</w:t>
      </w:r>
      <w:r w:rsidR="00BC54BC" w:rsidRPr="00844541">
        <w:rPr>
          <w:lang w:val="fr-FR"/>
        </w:rPr>
        <w:t xml:space="preserve">, 19 décembre 1997, § 31, </w:t>
      </w:r>
      <w:r w:rsidR="00BC54BC" w:rsidRPr="00844541">
        <w:rPr>
          <w:i/>
          <w:lang w:val="fr-FR"/>
        </w:rPr>
        <w:t>Recueil des arrêts et décisions</w:t>
      </w:r>
      <w:r w:rsidR="00BC54BC" w:rsidRPr="00844541">
        <w:rPr>
          <w:lang w:val="fr-FR"/>
        </w:rPr>
        <w:t xml:space="preserve"> 1997</w:t>
      </w:r>
      <w:r w:rsidR="00BC54BC" w:rsidRPr="00844541">
        <w:rPr>
          <w:lang w:val="fr-FR"/>
        </w:rPr>
        <w:noBreakHyphen/>
        <w:t>VIII</w:t>
      </w:r>
      <w:r w:rsidR="00113AC6" w:rsidRPr="00844541">
        <w:rPr>
          <w:lang w:val="fr-FR"/>
        </w:rPr>
        <w:t>,</w:t>
      </w:r>
      <w:r w:rsidR="00BC54BC" w:rsidRPr="00844541">
        <w:rPr>
          <w:lang w:val="fr-FR"/>
        </w:rPr>
        <w:t xml:space="preserve"> </w:t>
      </w:r>
      <w:r w:rsidRPr="00844541">
        <w:rPr>
          <w:lang w:val="fr-FR"/>
        </w:rPr>
        <w:t>et</w:t>
      </w:r>
      <w:r w:rsidR="00B22B6F" w:rsidRPr="00844541">
        <w:rPr>
          <w:i/>
          <w:lang w:val="fr-FR"/>
        </w:rPr>
        <w:t xml:space="preserve"> </w:t>
      </w:r>
      <w:r w:rsidR="00B22B6F" w:rsidRPr="00844541">
        <w:rPr>
          <w:lang w:val="fr-FR"/>
        </w:rPr>
        <w:t>Edificaciones</w:t>
      </w:r>
      <w:r w:rsidR="00DE541D" w:rsidRPr="00844541">
        <w:rPr>
          <w:lang w:val="fr-FR"/>
        </w:rPr>
        <w:t xml:space="preserve"> </w:t>
      </w:r>
      <w:r w:rsidR="00B22B6F" w:rsidRPr="00844541">
        <w:rPr>
          <w:lang w:val="fr-FR"/>
        </w:rPr>
        <w:t>March</w:t>
      </w:r>
      <w:r w:rsidR="00DE541D" w:rsidRPr="00844541">
        <w:rPr>
          <w:i/>
          <w:lang w:val="fr-FR"/>
        </w:rPr>
        <w:t xml:space="preserve"> </w:t>
      </w:r>
      <w:r w:rsidR="00B22B6F" w:rsidRPr="00844541">
        <w:rPr>
          <w:i/>
          <w:lang w:val="fr-FR"/>
        </w:rPr>
        <w:t>Gallego</w:t>
      </w:r>
      <w:r w:rsidR="00DE541D" w:rsidRPr="00844541">
        <w:rPr>
          <w:i/>
          <w:lang w:val="fr-FR"/>
        </w:rPr>
        <w:t xml:space="preserve"> </w:t>
      </w:r>
      <w:r w:rsidR="00B22B6F" w:rsidRPr="00844541">
        <w:rPr>
          <w:i/>
          <w:lang w:val="fr-FR"/>
        </w:rPr>
        <w:t>S.A.</w:t>
      </w:r>
      <w:r w:rsidR="00DE541D" w:rsidRPr="00844541">
        <w:rPr>
          <w:i/>
          <w:lang w:val="fr-FR"/>
        </w:rPr>
        <w:t xml:space="preserve"> </w:t>
      </w:r>
      <w:r w:rsidR="00B22B6F" w:rsidRPr="00844541">
        <w:rPr>
          <w:i/>
          <w:lang w:val="fr-FR"/>
        </w:rPr>
        <w:t>c.</w:t>
      </w:r>
      <w:r w:rsidR="00DE541D" w:rsidRPr="00844541">
        <w:rPr>
          <w:i/>
          <w:lang w:val="fr-FR"/>
        </w:rPr>
        <w:t xml:space="preserve"> </w:t>
      </w:r>
      <w:r w:rsidRPr="00844541">
        <w:rPr>
          <w:i/>
          <w:lang w:val="fr-FR"/>
        </w:rPr>
        <w:t xml:space="preserve">Espagne, </w:t>
      </w:r>
      <w:r w:rsidR="00C800CF" w:rsidRPr="00844541">
        <w:rPr>
          <w:lang w:val="fr-FR"/>
        </w:rPr>
        <w:t>19 février </w:t>
      </w:r>
      <w:r w:rsidRPr="00844541">
        <w:rPr>
          <w:lang w:val="fr-FR"/>
        </w:rPr>
        <w:t xml:space="preserve">1998, § 33, </w:t>
      </w:r>
      <w:r w:rsidRPr="00844541">
        <w:rPr>
          <w:i/>
          <w:lang w:val="fr-FR"/>
        </w:rPr>
        <w:t>Recueil</w:t>
      </w:r>
      <w:r w:rsidRPr="00844541">
        <w:rPr>
          <w:lang w:val="fr-FR"/>
        </w:rPr>
        <w:t xml:space="preserve"> 1998-I). </w:t>
      </w:r>
      <w:r w:rsidR="007D2317" w:rsidRPr="00844541">
        <w:rPr>
          <w:lang w:val="fr-FR"/>
        </w:rPr>
        <w:t>Son</w:t>
      </w:r>
      <w:r w:rsidRPr="00844541">
        <w:rPr>
          <w:lang w:val="fr-FR"/>
        </w:rPr>
        <w:t xml:space="preserve"> rôle se limite à vérifier la compatibilité avec la Convention des effets de pareille interprétation.</w:t>
      </w:r>
    </w:p>
    <w:p w:rsidR="009431DE" w:rsidRPr="00844541" w:rsidRDefault="00FF35FD" w:rsidP="00844541">
      <w:pPr>
        <w:pStyle w:val="ECHRHeading5"/>
      </w:pPr>
      <w:r w:rsidRPr="00844541">
        <w:t>ii.</w:t>
      </w:r>
      <w:r w:rsidR="00C37E41" w:rsidRPr="00844541">
        <w:t>  </w:t>
      </w:r>
      <w:r w:rsidRPr="00844541">
        <w:t>L</w:t>
      </w:r>
      <w:r w:rsidR="00844541">
        <w:t>’</w:t>
      </w:r>
      <w:r w:rsidRPr="00844541">
        <w:t>application des principes en l</w:t>
      </w:r>
      <w:r w:rsidR="00844541">
        <w:t>’</w:t>
      </w:r>
      <w:r w:rsidRPr="00844541">
        <w:t>espèce</w:t>
      </w:r>
    </w:p>
    <w:p w:rsidR="00FF35FD" w:rsidRPr="00844541" w:rsidRDefault="00D01A28" w:rsidP="00844541">
      <w:pPr>
        <w:pStyle w:val="ECHRPara"/>
        <w:rPr>
          <w:bCs/>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67</w:t>
      </w:r>
      <w:r w:rsidRPr="00844541">
        <w:rPr>
          <w:noProof/>
        </w:rPr>
        <w:fldChar w:fldCharType="end"/>
      </w:r>
      <w:r w:rsidR="00FF35FD" w:rsidRPr="00844541">
        <w:rPr>
          <w:lang w:val="fr-FR"/>
        </w:rPr>
        <w:t xml:space="preserve">.  La Cour note que </w:t>
      </w:r>
      <w:r w:rsidR="004201DD" w:rsidRPr="00844541">
        <w:rPr>
          <w:lang w:val="fr-FR"/>
        </w:rPr>
        <w:t>l</w:t>
      </w:r>
      <w:r w:rsidR="00BD19E2" w:rsidRPr="00844541">
        <w:rPr>
          <w:lang w:val="fr-FR"/>
        </w:rPr>
        <w:t xml:space="preserve">a présente </w:t>
      </w:r>
      <w:r w:rsidR="004201DD" w:rsidRPr="00844541">
        <w:rPr>
          <w:lang w:val="fr-FR"/>
        </w:rPr>
        <w:t xml:space="preserve">affaire </w:t>
      </w:r>
      <w:r w:rsidR="00FF35FD" w:rsidRPr="00844541">
        <w:rPr>
          <w:lang w:val="fr-FR"/>
        </w:rPr>
        <w:t>s</w:t>
      </w:r>
      <w:r w:rsidR="00844541">
        <w:rPr>
          <w:lang w:val="fr-FR"/>
        </w:rPr>
        <w:t>’</w:t>
      </w:r>
      <w:r w:rsidR="00FF35FD" w:rsidRPr="00844541">
        <w:rPr>
          <w:lang w:val="fr-FR"/>
        </w:rPr>
        <w:t xml:space="preserve">inscrit dans </w:t>
      </w:r>
      <w:r w:rsidR="00113AC6" w:rsidRPr="00844541">
        <w:rPr>
          <w:lang w:val="fr-FR"/>
        </w:rPr>
        <w:t>le</w:t>
      </w:r>
      <w:r w:rsidR="00FF35FD" w:rsidRPr="00844541">
        <w:rPr>
          <w:lang w:val="fr-FR"/>
        </w:rPr>
        <w:t xml:space="preserve"> contexte spécial </w:t>
      </w:r>
      <w:r w:rsidR="00113AC6" w:rsidRPr="00844541">
        <w:rPr>
          <w:lang w:val="fr-FR"/>
        </w:rPr>
        <w:t>de</w:t>
      </w:r>
      <w:r w:rsidR="00FF35FD" w:rsidRPr="00844541">
        <w:rPr>
          <w:lang w:val="fr-FR"/>
        </w:rPr>
        <w:t xml:space="preserve"> la restitution des lieux de culte ayant appartenu à l</w:t>
      </w:r>
      <w:r w:rsidR="00844541">
        <w:rPr>
          <w:lang w:val="fr-FR"/>
        </w:rPr>
        <w:t>’</w:t>
      </w:r>
      <w:r w:rsidR="00FF35FD" w:rsidRPr="00844541">
        <w:rPr>
          <w:lang w:val="fr-FR"/>
        </w:rPr>
        <w:t>Église gréco</w:t>
      </w:r>
      <w:r w:rsidR="00C800CF" w:rsidRPr="00844541">
        <w:rPr>
          <w:lang w:val="fr-FR"/>
        </w:rPr>
        <w:noBreakHyphen/>
      </w:r>
      <w:r w:rsidR="00FF35FD" w:rsidRPr="00844541">
        <w:rPr>
          <w:lang w:val="fr-FR"/>
        </w:rPr>
        <w:t xml:space="preserve">catholique </w:t>
      </w:r>
      <w:r w:rsidR="00113AC6" w:rsidRPr="00844541">
        <w:rPr>
          <w:lang w:val="fr-FR"/>
        </w:rPr>
        <w:t xml:space="preserve">qui a été </w:t>
      </w:r>
      <w:r w:rsidR="00BD19E2" w:rsidRPr="00844541">
        <w:rPr>
          <w:lang w:val="fr-FR"/>
        </w:rPr>
        <w:t>supprimée</w:t>
      </w:r>
      <w:r w:rsidR="00FF35FD" w:rsidRPr="00844541">
        <w:rPr>
          <w:lang w:val="fr-FR"/>
        </w:rPr>
        <w:t xml:space="preserve"> </w:t>
      </w:r>
      <w:r w:rsidR="00BD19E2" w:rsidRPr="00844541">
        <w:rPr>
          <w:lang w:val="fr-FR"/>
        </w:rPr>
        <w:t xml:space="preserve">par </w:t>
      </w:r>
      <w:r w:rsidR="00FF35FD" w:rsidRPr="00844541">
        <w:rPr>
          <w:lang w:val="fr-FR"/>
        </w:rPr>
        <w:t xml:space="preserve">le régime </w:t>
      </w:r>
      <w:r w:rsidR="00BD19E2" w:rsidRPr="00844541">
        <w:rPr>
          <w:lang w:val="fr-FR"/>
        </w:rPr>
        <w:t>communiste</w:t>
      </w:r>
      <w:r w:rsidR="00FF35FD" w:rsidRPr="00844541">
        <w:rPr>
          <w:lang w:val="fr-FR"/>
        </w:rPr>
        <w:t xml:space="preserve">. Elle </w:t>
      </w:r>
      <w:r w:rsidR="00113AC6" w:rsidRPr="00844541">
        <w:rPr>
          <w:lang w:val="fr-FR"/>
        </w:rPr>
        <w:t xml:space="preserve">a </w:t>
      </w:r>
      <w:r w:rsidR="00FF35FD" w:rsidRPr="00844541">
        <w:rPr>
          <w:lang w:val="fr-FR"/>
        </w:rPr>
        <w:t>conscien</w:t>
      </w:r>
      <w:r w:rsidR="00113AC6" w:rsidRPr="00844541">
        <w:rPr>
          <w:lang w:val="fr-FR"/>
        </w:rPr>
        <w:t>c</w:t>
      </w:r>
      <w:r w:rsidR="00FF35FD" w:rsidRPr="00844541">
        <w:rPr>
          <w:lang w:val="fr-FR"/>
        </w:rPr>
        <w:t xml:space="preserve">e que le problème de restitution de ces édifices de culte se pose à une échelle </w:t>
      </w:r>
      <w:r w:rsidR="00BD19E2" w:rsidRPr="00844541">
        <w:rPr>
          <w:lang w:val="fr-FR"/>
        </w:rPr>
        <w:t xml:space="preserve">relativement </w:t>
      </w:r>
      <w:r w:rsidR="00FF35FD" w:rsidRPr="00844541">
        <w:rPr>
          <w:lang w:val="fr-FR"/>
        </w:rPr>
        <w:t xml:space="preserve">importante et </w:t>
      </w:r>
      <w:r w:rsidR="00D00356" w:rsidRPr="00844541">
        <w:rPr>
          <w:lang w:val="fr-FR"/>
        </w:rPr>
        <w:t>qu</w:t>
      </w:r>
      <w:r w:rsidR="00844541">
        <w:rPr>
          <w:lang w:val="fr-FR"/>
        </w:rPr>
        <w:t>’</w:t>
      </w:r>
      <w:r w:rsidR="00D00356" w:rsidRPr="00844541">
        <w:rPr>
          <w:lang w:val="fr-FR"/>
        </w:rPr>
        <w:t xml:space="preserve">il </w:t>
      </w:r>
      <w:r w:rsidR="00FF35FD" w:rsidRPr="00844541">
        <w:rPr>
          <w:lang w:val="fr-FR"/>
        </w:rPr>
        <w:t xml:space="preserve">constitue une question socialement sensible. </w:t>
      </w:r>
      <w:r w:rsidR="000C099A" w:rsidRPr="00844541">
        <w:rPr>
          <w:lang w:val="fr-FR"/>
        </w:rPr>
        <w:t>À</w:t>
      </w:r>
      <w:r w:rsidR="00FF35FD" w:rsidRPr="00844541">
        <w:rPr>
          <w:lang w:val="fr-FR"/>
        </w:rPr>
        <w:t xml:space="preserve"> ce sujet, elle rappelle qu</w:t>
      </w:r>
      <w:r w:rsidR="00844541">
        <w:rPr>
          <w:lang w:val="fr-FR"/>
        </w:rPr>
        <w:t>’</w:t>
      </w:r>
      <w:r w:rsidR="00FF35FD" w:rsidRPr="00844541">
        <w:rPr>
          <w:lang w:val="fr-FR"/>
        </w:rPr>
        <w:t>elle a déjà jugé que</w:t>
      </w:r>
      <w:r w:rsidR="00A829CE" w:rsidRPr="00844541">
        <w:rPr>
          <w:lang w:val="fr-FR"/>
        </w:rPr>
        <w:t>,</w:t>
      </w:r>
      <w:r w:rsidR="00FF35FD" w:rsidRPr="00844541">
        <w:rPr>
          <w:lang w:val="fr-FR"/>
        </w:rPr>
        <w:t xml:space="preserve"> même dans un tel contexte, une exclusion générale de la compétence des tribunaux des litiges portant sur les lieux de culte </w:t>
      </w:r>
      <w:r w:rsidR="003759D7" w:rsidRPr="00844541">
        <w:rPr>
          <w:lang w:val="fr-FR"/>
        </w:rPr>
        <w:t xml:space="preserve">contrariait </w:t>
      </w:r>
      <w:r w:rsidR="00FF35FD" w:rsidRPr="00844541">
        <w:rPr>
          <w:lang w:val="fr-FR"/>
        </w:rPr>
        <w:t xml:space="preserve">en soi </w:t>
      </w:r>
      <w:r w:rsidR="003759D7" w:rsidRPr="00844541">
        <w:rPr>
          <w:lang w:val="fr-FR"/>
        </w:rPr>
        <w:t>le</w:t>
      </w:r>
      <w:r w:rsidR="00FF35FD" w:rsidRPr="00844541">
        <w:rPr>
          <w:lang w:val="fr-FR"/>
        </w:rPr>
        <w:t xml:space="preserve"> droit d</w:t>
      </w:r>
      <w:r w:rsidR="00844541">
        <w:rPr>
          <w:lang w:val="fr-FR"/>
        </w:rPr>
        <w:t>’</w:t>
      </w:r>
      <w:r w:rsidR="00FF35FD" w:rsidRPr="00844541">
        <w:rPr>
          <w:lang w:val="fr-FR"/>
        </w:rPr>
        <w:t xml:space="preserve">accès à un tribunal, </w:t>
      </w:r>
      <w:r w:rsidR="003759D7" w:rsidRPr="00844541">
        <w:rPr>
          <w:lang w:val="fr-FR"/>
        </w:rPr>
        <w:t xml:space="preserve">et ce </w:t>
      </w:r>
      <w:r w:rsidR="00FF35FD" w:rsidRPr="00844541">
        <w:rPr>
          <w:lang w:val="fr-FR"/>
        </w:rPr>
        <w:t>d</w:t>
      </w:r>
      <w:r w:rsidR="00844541">
        <w:rPr>
          <w:lang w:val="fr-FR"/>
        </w:rPr>
        <w:t>’</w:t>
      </w:r>
      <w:r w:rsidR="00FF35FD" w:rsidRPr="00844541">
        <w:rPr>
          <w:lang w:val="fr-FR"/>
        </w:rPr>
        <w:t>autant plus que les systèmes de résolution de conflits préalables mis en place par le décret-loi n</w:t>
      </w:r>
      <w:r w:rsidR="00FF35FD" w:rsidRPr="00844541">
        <w:rPr>
          <w:vertAlign w:val="superscript"/>
          <w:lang w:val="fr-FR"/>
        </w:rPr>
        <w:t>o</w:t>
      </w:r>
      <w:r w:rsidR="00FF35FD" w:rsidRPr="00844541">
        <w:rPr>
          <w:lang w:val="fr-FR"/>
        </w:rPr>
        <w:t xml:space="preserve"> 126/1990 n</w:t>
      </w:r>
      <w:r w:rsidR="00844541">
        <w:rPr>
          <w:lang w:val="fr-FR"/>
        </w:rPr>
        <w:t>’</w:t>
      </w:r>
      <w:r w:rsidR="00FF35FD" w:rsidRPr="00844541">
        <w:rPr>
          <w:lang w:val="fr-FR"/>
        </w:rPr>
        <w:t>étaient pas suffisamment réglementés et que le contrôle juridictionnel sur la décision de la commission mixte n</w:t>
      </w:r>
      <w:r w:rsidR="00844541">
        <w:rPr>
          <w:lang w:val="fr-FR"/>
        </w:rPr>
        <w:t>’</w:t>
      </w:r>
      <w:r w:rsidR="00FF35FD" w:rsidRPr="00844541">
        <w:rPr>
          <w:lang w:val="fr-FR"/>
        </w:rPr>
        <w:t>était pas adéquat (</w:t>
      </w:r>
      <w:r w:rsidR="00FF35FD" w:rsidRPr="00844541">
        <w:rPr>
          <w:i/>
          <w:lang w:val="fr-FR"/>
        </w:rPr>
        <w:t xml:space="preserve">Paroisse </w:t>
      </w:r>
      <w:r w:rsidR="00D00356" w:rsidRPr="00844541">
        <w:rPr>
          <w:i/>
          <w:lang w:val="fr-FR"/>
        </w:rPr>
        <w:t>g</w:t>
      </w:r>
      <w:r w:rsidR="00FF35FD" w:rsidRPr="00844541">
        <w:rPr>
          <w:i/>
          <w:lang w:val="fr-FR"/>
        </w:rPr>
        <w:t>r</w:t>
      </w:r>
      <w:r w:rsidR="00D00356" w:rsidRPr="00844541">
        <w:rPr>
          <w:i/>
          <w:lang w:val="fr-FR"/>
        </w:rPr>
        <w:t>é</w:t>
      </w:r>
      <w:r w:rsidR="00FF35FD" w:rsidRPr="00844541">
        <w:rPr>
          <w:i/>
          <w:lang w:val="fr-FR"/>
        </w:rPr>
        <w:t>co</w:t>
      </w:r>
      <w:r w:rsidR="00D00356" w:rsidRPr="00844541">
        <w:rPr>
          <w:i/>
          <w:lang w:val="fr-FR"/>
        </w:rPr>
        <w:t>-c</w:t>
      </w:r>
      <w:r w:rsidR="00FF35FD" w:rsidRPr="00844541">
        <w:rPr>
          <w:i/>
          <w:lang w:val="fr-FR"/>
        </w:rPr>
        <w:t>atholique Sâmbata Bihor</w:t>
      </w:r>
      <w:r w:rsidR="00FF35FD" w:rsidRPr="00844541">
        <w:rPr>
          <w:bCs/>
          <w:lang w:val="fr-FR"/>
        </w:rPr>
        <w:t>,</w:t>
      </w:r>
      <w:r w:rsidR="00FF35FD" w:rsidRPr="00844541">
        <w:rPr>
          <w:bCs/>
          <w:i/>
          <w:lang w:val="fr-FR"/>
        </w:rPr>
        <w:t xml:space="preserve"> </w:t>
      </w:r>
      <w:r w:rsidR="00FF35FD" w:rsidRPr="00844541">
        <w:rPr>
          <w:bCs/>
          <w:lang w:val="fr-FR"/>
        </w:rPr>
        <w:t>précité, §§</w:t>
      </w:r>
      <w:r w:rsidR="00723E95" w:rsidRPr="00844541">
        <w:rPr>
          <w:bCs/>
          <w:lang w:val="fr-FR"/>
        </w:rPr>
        <w:t> </w:t>
      </w:r>
      <w:r w:rsidR="00FF35FD" w:rsidRPr="00844541">
        <w:rPr>
          <w:bCs/>
          <w:lang w:val="fr-FR"/>
        </w:rPr>
        <w:t>66-75).</w:t>
      </w:r>
    </w:p>
    <w:p w:rsidR="00B43D08" w:rsidRPr="00844541" w:rsidRDefault="00723E95" w:rsidP="00844541">
      <w:pPr>
        <w:pStyle w:val="ECHRPara"/>
        <w:rPr>
          <w:bCs/>
          <w:u w:val="single"/>
          <w:lang w:val="fr-FR"/>
        </w:rPr>
      </w:pPr>
      <w:r w:rsidRPr="00844541">
        <w:rPr>
          <w:bCs/>
        </w:rPr>
        <w:fldChar w:fldCharType="begin"/>
      </w:r>
      <w:r w:rsidRPr="00844541">
        <w:rPr>
          <w:bCs/>
          <w:lang w:val="fr-FR"/>
        </w:rPr>
        <w:instrText xml:space="preserve"> SEQ level0 \*arabic </w:instrText>
      </w:r>
      <w:r w:rsidRPr="00844541">
        <w:rPr>
          <w:bCs/>
        </w:rPr>
        <w:fldChar w:fldCharType="separate"/>
      </w:r>
      <w:r w:rsidR="00767866">
        <w:rPr>
          <w:bCs/>
          <w:noProof/>
          <w:lang w:val="fr-FR"/>
        </w:rPr>
        <w:t>68</w:t>
      </w:r>
      <w:r w:rsidRPr="00844541">
        <w:rPr>
          <w:bCs/>
        </w:rPr>
        <w:fldChar w:fldCharType="end"/>
      </w:r>
      <w:r w:rsidRPr="00844541">
        <w:rPr>
          <w:bCs/>
          <w:lang w:val="fr-FR"/>
        </w:rPr>
        <w:t>.  </w:t>
      </w:r>
      <w:r w:rsidR="001F0950" w:rsidRPr="00844541">
        <w:rPr>
          <w:bCs/>
          <w:lang w:val="fr-FR"/>
        </w:rPr>
        <w:t>En l</w:t>
      </w:r>
      <w:r w:rsidR="00844541">
        <w:rPr>
          <w:bCs/>
          <w:lang w:val="fr-FR"/>
        </w:rPr>
        <w:t>’</w:t>
      </w:r>
      <w:r w:rsidR="001F0950" w:rsidRPr="00844541">
        <w:rPr>
          <w:bCs/>
          <w:lang w:val="fr-FR"/>
        </w:rPr>
        <w:t>espèce</w:t>
      </w:r>
      <w:r w:rsidR="00D00356" w:rsidRPr="00844541">
        <w:rPr>
          <w:bCs/>
          <w:lang w:val="fr-FR"/>
        </w:rPr>
        <w:t>,</w:t>
      </w:r>
      <w:r w:rsidR="001F0950" w:rsidRPr="00844541">
        <w:rPr>
          <w:bCs/>
          <w:lang w:val="fr-FR"/>
        </w:rPr>
        <w:t xml:space="preserve"> </w:t>
      </w:r>
      <w:r w:rsidR="003759D7" w:rsidRPr="00844541">
        <w:rPr>
          <w:bCs/>
          <w:lang w:val="fr-FR"/>
        </w:rPr>
        <w:t xml:space="preserve">la Cour constate que </w:t>
      </w:r>
      <w:r w:rsidR="001F0950" w:rsidRPr="00844541">
        <w:rPr>
          <w:bCs/>
          <w:lang w:val="fr-FR"/>
        </w:rPr>
        <w:t>l</w:t>
      </w:r>
      <w:r w:rsidR="00844541">
        <w:rPr>
          <w:bCs/>
          <w:lang w:val="fr-FR"/>
        </w:rPr>
        <w:t>’</w:t>
      </w:r>
      <w:r w:rsidR="001F0950" w:rsidRPr="00844541">
        <w:rPr>
          <w:bCs/>
          <w:lang w:val="fr-FR"/>
        </w:rPr>
        <w:t>article 3 d</w:t>
      </w:r>
      <w:r w:rsidR="000C099A" w:rsidRPr="00844541">
        <w:rPr>
          <w:bCs/>
          <w:lang w:val="fr-FR"/>
        </w:rPr>
        <w:t xml:space="preserve">u décret-loi </w:t>
      </w:r>
      <w:r w:rsidR="003759D7" w:rsidRPr="00844541">
        <w:rPr>
          <w:bCs/>
          <w:lang w:val="fr-FR"/>
        </w:rPr>
        <w:t>n</w:t>
      </w:r>
      <w:r w:rsidR="003759D7" w:rsidRPr="00844541">
        <w:rPr>
          <w:bCs/>
          <w:vertAlign w:val="superscript"/>
          <w:lang w:val="fr-FR"/>
        </w:rPr>
        <w:t>o</w:t>
      </w:r>
      <w:r w:rsidR="003759D7" w:rsidRPr="00844541">
        <w:rPr>
          <w:bCs/>
          <w:lang w:val="fr-FR"/>
        </w:rPr>
        <w:t> </w:t>
      </w:r>
      <w:r w:rsidR="001F0950" w:rsidRPr="00844541">
        <w:rPr>
          <w:bCs/>
          <w:lang w:val="fr-FR"/>
        </w:rPr>
        <w:t>126/1990</w:t>
      </w:r>
      <w:r w:rsidR="004C6D08" w:rsidRPr="00844541">
        <w:rPr>
          <w:bCs/>
          <w:lang w:val="fr-FR"/>
        </w:rPr>
        <w:t>,</w:t>
      </w:r>
      <w:r w:rsidR="001F0950" w:rsidRPr="00844541">
        <w:rPr>
          <w:bCs/>
          <w:lang w:val="fr-FR"/>
        </w:rPr>
        <w:t xml:space="preserve"> tel que modifié successivement par l</w:t>
      </w:r>
      <w:r w:rsidR="00844541">
        <w:rPr>
          <w:bCs/>
          <w:lang w:val="fr-FR"/>
        </w:rPr>
        <w:t>’</w:t>
      </w:r>
      <w:r w:rsidR="006D7EA8" w:rsidRPr="00844541">
        <w:rPr>
          <w:bCs/>
          <w:lang w:val="fr-FR"/>
        </w:rPr>
        <w:t>ordonnance</w:t>
      </w:r>
      <w:r w:rsidR="001F0950" w:rsidRPr="00844541">
        <w:rPr>
          <w:bCs/>
          <w:lang w:val="fr-FR"/>
        </w:rPr>
        <w:t xml:space="preserve"> n</w:t>
      </w:r>
      <w:r w:rsidR="001F0950" w:rsidRPr="00844541">
        <w:rPr>
          <w:bCs/>
          <w:vertAlign w:val="superscript"/>
          <w:lang w:val="fr-FR"/>
        </w:rPr>
        <w:t>o</w:t>
      </w:r>
      <w:r w:rsidR="006D7EA8" w:rsidRPr="00844541">
        <w:rPr>
          <w:bCs/>
          <w:lang w:val="fr-FR"/>
        </w:rPr>
        <w:t> </w:t>
      </w:r>
      <w:r w:rsidR="001F0950" w:rsidRPr="00844541">
        <w:rPr>
          <w:bCs/>
          <w:lang w:val="fr-FR"/>
        </w:rPr>
        <w:t>64/2004 et par la loi n</w:t>
      </w:r>
      <w:r w:rsidR="001F0950" w:rsidRPr="00844541">
        <w:rPr>
          <w:bCs/>
          <w:vertAlign w:val="superscript"/>
          <w:lang w:val="fr-FR"/>
        </w:rPr>
        <w:t>o</w:t>
      </w:r>
      <w:r w:rsidR="00BC54BC" w:rsidRPr="00844541">
        <w:rPr>
          <w:bCs/>
          <w:lang w:val="fr-FR"/>
        </w:rPr>
        <w:t> </w:t>
      </w:r>
      <w:r w:rsidR="001F0950" w:rsidRPr="00844541">
        <w:rPr>
          <w:bCs/>
          <w:lang w:val="fr-FR"/>
        </w:rPr>
        <w:t>182/2005</w:t>
      </w:r>
      <w:r w:rsidR="004C6D08" w:rsidRPr="00844541">
        <w:rPr>
          <w:bCs/>
          <w:lang w:val="fr-FR"/>
        </w:rPr>
        <w:t>,</w:t>
      </w:r>
      <w:r w:rsidR="001F0950" w:rsidRPr="00844541">
        <w:rPr>
          <w:bCs/>
          <w:lang w:val="fr-FR"/>
        </w:rPr>
        <w:t xml:space="preserve"> </w:t>
      </w:r>
      <w:r w:rsidR="00183B5A" w:rsidRPr="00844541">
        <w:rPr>
          <w:bCs/>
          <w:lang w:val="fr-FR"/>
        </w:rPr>
        <w:t>offrait</w:t>
      </w:r>
      <w:r w:rsidR="001F0950" w:rsidRPr="00844541">
        <w:rPr>
          <w:bCs/>
          <w:lang w:val="fr-FR"/>
        </w:rPr>
        <w:t xml:space="preserve"> aux </w:t>
      </w:r>
      <w:r w:rsidR="00183B5A" w:rsidRPr="00844541">
        <w:rPr>
          <w:bCs/>
          <w:lang w:val="fr-FR"/>
        </w:rPr>
        <w:t>requérants</w:t>
      </w:r>
      <w:r w:rsidR="001F0950" w:rsidRPr="00844541">
        <w:rPr>
          <w:bCs/>
          <w:lang w:val="fr-FR"/>
        </w:rPr>
        <w:t xml:space="preserve"> la possibilité d</w:t>
      </w:r>
      <w:r w:rsidR="00844541">
        <w:rPr>
          <w:bCs/>
          <w:lang w:val="fr-FR"/>
        </w:rPr>
        <w:t>’</w:t>
      </w:r>
      <w:r w:rsidR="001F0950" w:rsidRPr="00844541">
        <w:rPr>
          <w:bCs/>
          <w:lang w:val="fr-FR"/>
        </w:rPr>
        <w:t>agir en justice</w:t>
      </w:r>
      <w:r w:rsidR="000C099A" w:rsidRPr="00844541">
        <w:rPr>
          <w:bCs/>
          <w:lang w:val="fr-FR"/>
        </w:rPr>
        <w:t xml:space="preserve"> </w:t>
      </w:r>
      <w:r w:rsidR="00BC54BC" w:rsidRPr="00844541">
        <w:rPr>
          <w:bCs/>
          <w:lang w:val="fr-FR"/>
        </w:rPr>
        <w:t xml:space="preserve">pour établir la situation juridique du lieu de culte </w:t>
      </w:r>
      <w:r w:rsidR="000C099A" w:rsidRPr="00844541">
        <w:rPr>
          <w:bCs/>
          <w:lang w:val="fr-FR"/>
        </w:rPr>
        <w:t xml:space="preserve">(voir, </w:t>
      </w:r>
      <w:r w:rsidR="000C099A" w:rsidRPr="00844541">
        <w:rPr>
          <w:bCs/>
          <w:i/>
          <w:lang w:val="fr-FR"/>
        </w:rPr>
        <w:t>a contrario</w:t>
      </w:r>
      <w:r w:rsidR="000C099A" w:rsidRPr="00844541">
        <w:rPr>
          <w:bCs/>
          <w:lang w:val="fr-FR"/>
        </w:rPr>
        <w:t xml:space="preserve">, </w:t>
      </w:r>
      <w:r w:rsidR="00B22B6F" w:rsidRPr="00844541">
        <w:rPr>
          <w:i/>
          <w:szCs w:val="24"/>
          <w:lang w:val="fr-FR"/>
        </w:rPr>
        <w:t>Tserkva </w:t>
      </w:r>
      <w:r w:rsidR="000C099A" w:rsidRPr="00844541">
        <w:rPr>
          <w:i/>
          <w:szCs w:val="24"/>
          <w:lang w:val="fr-FR"/>
        </w:rPr>
        <w:t>Sela Sossoulivka c. Ukraine</w:t>
      </w:r>
      <w:r w:rsidR="000C099A" w:rsidRPr="00844541">
        <w:rPr>
          <w:szCs w:val="24"/>
          <w:lang w:val="fr-FR"/>
        </w:rPr>
        <w:t>, n</w:t>
      </w:r>
      <w:r w:rsidR="000C099A" w:rsidRPr="00844541">
        <w:rPr>
          <w:szCs w:val="24"/>
          <w:vertAlign w:val="superscript"/>
          <w:lang w:val="fr-FR"/>
        </w:rPr>
        <w:t>o</w:t>
      </w:r>
      <w:r w:rsidR="000C099A" w:rsidRPr="00844541">
        <w:rPr>
          <w:szCs w:val="24"/>
          <w:lang w:val="fr-FR"/>
        </w:rPr>
        <w:t xml:space="preserve"> 37878/02, § 51, 28 février 2008)</w:t>
      </w:r>
      <w:r w:rsidR="001F0950" w:rsidRPr="00844541">
        <w:rPr>
          <w:bCs/>
          <w:lang w:val="fr-FR"/>
        </w:rPr>
        <w:t>. De même, l</w:t>
      </w:r>
      <w:r w:rsidR="00844541">
        <w:rPr>
          <w:bCs/>
          <w:lang w:val="fr-FR"/>
        </w:rPr>
        <w:t>’</w:t>
      </w:r>
      <w:r w:rsidR="001F0950" w:rsidRPr="00844541">
        <w:rPr>
          <w:bCs/>
          <w:lang w:val="fr-FR"/>
        </w:rPr>
        <w:t xml:space="preserve">article 3 ainsi modifié </w:t>
      </w:r>
      <w:r w:rsidR="00CF1E04" w:rsidRPr="00844541">
        <w:rPr>
          <w:bCs/>
          <w:lang w:val="fr-FR"/>
        </w:rPr>
        <w:t>prévoyait l</w:t>
      </w:r>
      <w:r w:rsidR="001F0950" w:rsidRPr="00844541">
        <w:rPr>
          <w:bCs/>
          <w:lang w:val="fr-FR"/>
        </w:rPr>
        <w:t xml:space="preserve">es délais </w:t>
      </w:r>
      <w:r w:rsidR="003759D7" w:rsidRPr="00844541">
        <w:rPr>
          <w:bCs/>
          <w:lang w:val="fr-FR"/>
        </w:rPr>
        <w:t xml:space="preserve">à respecter </w:t>
      </w:r>
      <w:r w:rsidR="001F0950" w:rsidRPr="00844541">
        <w:rPr>
          <w:bCs/>
          <w:lang w:val="fr-FR"/>
        </w:rPr>
        <w:t xml:space="preserve">et </w:t>
      </w:r>
      <w:r w:rsidR="00CF1E04" w:rsidRPr="00844541">
        <w:rPr>
          <w:bCs/>
          <w:lang w:val="fr-FR"/>
        </w:rPr>
        <w:t>la</w:t>
      </w:r>
      <w:r w:rsidR="001F0950" w:rsidRPr="00844541">
        <w:rPr>
          <w:bCs/>
          <w:lang w:val="fr-FR"/>
        </w:rPr>
        <w:t xml:space="preserve"> procédure à suivre devant la commission mixte, de sorte que cette étape préalable n</w:t>
      </w:r>
      <w:r w:rsidR="00844541">
        <w:rPr>
          <w:bCs/>
          <w:lang w:val="fr-FR"/>
        </w:rPr>
        <w:t>’</w:t>
      </w:r>
      <w:r w:rsidR="001F0950" w:rsidRPr="00844541">
        <w:rPr>
          <w:bCs/>
          <w:lang w:val="fr-FR"/>
        </w:rPr>
        <w:t xml:space="preserve">a pas constitué un </w:t>
      </w:r>
      <w:r w:rsidR="00183B5A" w:rsidRPr="00844541">
        <w:rPr>
          <w:bCs/>
          <w:lang w:val="fr-FR"/>
        </w:rPr>
        <w:t>obstacle</w:t>
      </w:r>
      <w:r w:rsidR="001F0950" w:rsidRPr="00844541">
        <w:rPr>
          <w:bCs/>
          <w:lang w:val="fr-FR"/>
        </w:rPr>
        <w:t xml:space="preserve"> à la saisine d</w:t>
      </w:r>
      <w:r w:rsidR="00844541">
        <w:rPr>
          <w:bCs/>
          <w:lang w:val="fr-FR"/>
        </w:rPr>
        <w:t>’</w:t>
      </w:r>
      <w:r w:rsidR="001F0950" w:rsidRPr="00844541">
        <w:rPr>
          <w:bCs/>
          <w:lang w:val="fr-FR"/>
        </w:rPr>
        <w:t xml:space="preserve">un tribunal (voir, </w:t>
      </w:r>
      <w:r w:rsidR="008D21D6" w:rsidRPr="00844541">
        <w:rPr>
          <w:bCs/>
          <w:i/>
          <w:lang w:val="fr-FR"/>
        </w:rPr>
        <w:t>a</w:t>
      </w:r>
      <w:r w:rsidR="00B22B6F" w:rsidRPr="00844541">
        <w:rPr>
          <w:bCs/>
          <w:i/>
          <w:lang w:val="fr-FR"/>
        </w:rPr>
        <w:t> </w:t>
      </w:r>
      <w:r w:rsidR="001F0950" w:rsidRPr="00844541">
        <w:rPr>
          <w:bCs/>
          <w:i/>
          <w:lang w:val="fr-FR"/>
        </w:rPr>
        <w:t>contrario</w:t>
      </w:r>
      <w:r w:rsidR="001F0950" w:rsidRPr="00844541">
        <w:rPr>
          <w:bCs/>
          <w:lang w:val="fr-FR"/>
        </w:rPr>
        <w:t>,</w:t>
      </w:r>
      <w:r w:rsidR="001F0950" w:rsidRPr="00844541">
        <w:rPr>
          <w:bCs/>
          <w:i/>
          <w:lang w:val="fr-FR"/>
        </w:rPr>
        <w:t xml:space="preserve"> Paroisse </w:t>
      </w:r>
      <w:r w:rsidR="00D00356" w:rsidRPr="00844541">
        <w:rPr>
          <w:bCs/>
          <w:i/>
          <w:lang w:val="fr-FR"/>
        </w:rPr>
        <w:t>g</w:t>
      </w:r>
      <w:r w:rsidR="001F0950" w:rsidRPr="00844541">
        <w:rPr>
          <w:bCs/>
          <w:i/>
          <w:lang w:val="fr-FR"/>
        </w:rPr>
        <w:t>r</w:t>
      </w:r>
      <w:r w:rsidR="00D00356" w:rsidRPr="00844541">
        <w:rPr>
          <w:bCs/>
          <w:i/>
          <w:lang w:val="fr-FR"/>
        </w:rPr>
        <w:t>é</w:t>
      </w:r>
      <w:r w:rsidR="001F0950" w:rsidRPr="00844541">
        <w:rPr>
          <w:bCs/>
          <w:i/>
          <w:lang w:val="fr-FR"/>
        </w:rPr>
        <w:t>co</w:t>
      </w:r>
      <w:r w:rsidR="00D00356" w:rsidRPr="00844541">
        <w:rPr>
          <w:bCs/>
          <w:i/>
          <w:lang w:val="fr-FR"/>
        </w:rPr>
        <w:t>-c</w:t>
      </w:r>
      <w:r w:rsidR="001F0950" w:rsidRPr="00844541">
        <w:rPr>
          <w:bCs/>
          <w:i/>
          <w:lang w:val="fr-FR"/>
        </w:rPr>
        <w:t>atholique Sâmbata Bihor</w:t>
      </w:r>
      <w:r w:rsidR="00D00356" w:rsidRPr="00844541">
        <w:rPr>
          <w:bCs/>
          <w:lang w:val="fr-FR"/>
        </w:rPr>
        <w:t>,</w:t>
      </w:r>
      <w:r w:rsidR="001F0950" w:rsidRPr="00844541">
        <w:rPr>
          <w:bCs/>
          <w:lang w:val="fr-FR"/>
        </w:rPr>
        <w:t xml:space="preserve"> précité, § 71).</w:t>
      </w:r>
    </w:p>
    <w:p w:rsidR="00B43D08" w:rsidRPr="00844541" w:rsidRDefault="00723E95" w:rsidP="00844541">
      <w:pPr>
        <w:pStyle w:val="ECHRPara"/>
        <w:rPr>
          <w:lang w:val="fr-FR"/>
        </w:rPr>
      </w:pPr>
      <w:r w:rsidRPr="00844541">
        <w:rPr>
          <w:bCs/>
        </w:rPr>
        <w:fldChar w:fldCharType="begin"/>
      </w:r>
      <w:r w:rsidRPr="00844541">
        <w:rPr>
          <w:bCs/>
          <w:lang w:val="fr-FR"/>
        </w:rPr>
        <w:instrText xml:space="preserve"> SEQ level0 \*arabic </w:instrText>
      </w:r>
      <w:r w:rsidRPr="00844541">
        <w:rPr>
          <w:bCs/>
        </w:rPr>
        <w:fldChar w:fldCharType="separate"/>
      </w:r>
      <w:r w:rsidR="00767866">
        <w:rPr>
          <w:bCs/>
          <w:noProof/>
          <w:lang w:val="fr-FR"/>
        </w:rPr>
        <w:t>69</w:t>
      </w:r>
      <w:r w:rsidRPr="00844541">
        <w:rPr>
          <w:bCs/>
        </w:rPr>
        <w:fldChar w:fldCharType="end"/>
      </w:r>
      <w:r w:rsidRPr="00844541">
        <w:rPr>
          <w:bCs/>
          <w:lang w:val="fr-FR"/>
        </w:rPr>
        <w:t>.  </w:t>
      </w:r>
      <w:r w:rsidR="001F0950" w:rsidRPr="00844541">
        <w:rPr>
          <w:bCs/>
          <w:lang w:val="fr-FR"/>
        </w:rPr>
        <w:t xml:space="preserve">La Cour </w:t>
      </w:r>
      <w:r w:rsidR="00BC54BC" w:rsidRPr="00844541">
        <w:rPr>
          <w:bCs/>
          <w:lang w:val="fr-FR"/>
        </w:rPr>
        <w:t>observe</w:t>
      </w:r>
      <w:r w:rsidR="001F0950" w:rsidRPr="00844541">
        <w:rPr>
          <w:bCs/>
          <w:lang w:val="fr-FR"/>
        </w:rPr>
        <w:t xml:space="preserve"> ensuite que les requérants ont </w:t>
      </w:r>
      <w:r w:rsidR="00CF1E04" w:rsidRPr="00844541">
        <w:rPr>
          <w:bCs/>
          <w:lang w:val="fr-FR"/>
        </w:rPr>
        <w:t xml:space="preserve">fait usage </w:t>
      </w:r>
      <w:r w:rsidR="001F0950" w:rsidRPr="00844541">
        <w:rPr>
          <w:bCs/>
          <w:lang w:val="fr-FR"/>
        </w:rPr>
        <w:t>de la voie ouverte par l</w:t>
      </w:r>
      <w:r w:rsidR="00844541">
        <w:rPr>
          <w:bCs/>
          <w:lang w:val="fr-FR"/>
        </w:rPr>
        <w:t>’</w:t>
      </w:r>
      <w:r w:rsidR="001F0950" w:rsidRPr="00844541">
        <w:rPr>
          <w:bCs/>
          <w:lang w:val="fr-FR"/>
        </w:rPr>
        <w:t>article 3 d</w:t>
      </w:r>
      <w:r w:rsidRPr="00844541">
        <w:rPr>
          <w:bCs/>
          <w:lang w:val="fr-FR"/>
        </w:rPr>
        <w:t>u décret-loi n</w:t>
      </w:r>
      <w:r w:rsidRPr="00844541">
        <w:rPr>
          <w:bCs/>
          <w:vertAlign w:val="superscript"/>
          <w:lang w:val="fr-FR"/>
        </w:rPr>
        <w:t>o</w:t>
      </w:r>
      <w:r w:rsidR="001F0950" w:rsidRPr="00844541">
        <w:rPr>
          <w:bCs/>
          <w:lang w:val="fr-FR"/>
        </w:rPr>
        <w:t xml:space="preserve"> 126/1990 modifié et </w:t>
      </w:r>
      <w:r w:rsidR="00CF1E04" w:rsidRPr="00844541">
        <w:rPr>
          <w:bCs/>
          <w:lang w:val="fr-FR"/>
        </w:rPr>
        <w:t>qu</w:t>
      </w:r>
      <w:r w:rsidR="00844541">
        <w:rPr>
          <w:bCs/>
          <w:lang w:val="fr-FR"/>
        </w:rPr>
        <w:t>’</w:t>
      </w:r>
      <w:r w:rsidR="00CF1E04" w:rsidRPr="00844541">
        <w:rPr>
          <w:bCs/>
          <w:lang w:val="fr-FR"/>
        </w:rPr>
        <w:t xml:space="preserve">ils </w:t>
      </w:r>
      <w:r w:rsidR="001F0950" w:rsidRPr="00844541">
        <w:rPr>
          <w:bCs/>
          <w:lang w:val="fr-FR"/>
        </w:rPr>
        <w:t xml:space="preserve">ont </w:t>
      </w:r>
      <w:r w:rsidR="00B43DAF" w:rsidRPr="00844541">
        <w:rPr>
          <w:bCs/>
          <w:lang w:val="fr-FR"/>
        </w:rPr>
        <w:t>assigné</w:t>
      </w:r>
      <w:r w:rsidR="001F0950" w:rsidRPr="00844541">
        <w:rPr>
          <w:bCs/>
          <w:lang w:val="fr-FR"/>
        </w:rPr>
        <w:t xml:space="preserve"> l</w:t>
      </w:r>
      <w:r w:rsidR="00844541">
        <w:rPr>
          <w:bCs/>
          <w:lang w:val="fr-FR"/>
        </w:rPr>
        <w:t>’</w:t>
      </w:r>
      <w:r w:rsidR="00B43DAF" w:rsidRPr="00844541">
        <w:rPr>
          <w:bCs/>
          <w:lang w:val="fr-FR"/>
        </w:rPr>
        <w:t>Église</w:t>
      </w:r>
      <w:r w:rsidR="001F0950" w:rsidRPr="00844541">
        <w:rPr>
          <w:bCs/>
          <w:lang w:val="fr-FR"/>
        </w:rPr>
        <w:t xml:space="preserve"> </w:t>
      </w:r>
      <w:r w:rsidR="00CF1E04" w:rsidRPr="00844541">
        <w:rPr>
          <w:bCs/>
          <w:lang w:val="fr-FR"/>
        </w:rPr>
        <w:t>o</w:t>
      </w:r>
      <w:r w:rsidR="001F0950" w:rsidRPr="00844541">
        <w:rPr>
          <w:bCs/>
          <w:lang w:val="fr-FR"/>
        </w:rPr>
        <w:t>rth</w:t>
      </w:r>
      <w:r w:rsidR="00B43DAF" w:rsidRPr="00844541">
        <w:rPr>
          <w:bCs/>
          <w:lang w:val="fr-FR"/>
        </w:rPr>
        <w:t>od</w:t>
      </w:r>
      <w:r w:rsidR="001F0950" w:rsidRPr="00844541">
        <w:rPr>
          <w:bCs/>
          <w:lang w:val="fr-FR"/>
        </w:rPr>
        <w:t>oxe détentrice du bien</w:t>
      </w:r>
      <w:r w:rsidR="00F41AA6" w:rsidRPr="00844541">
        <w:rPr>
          <w:bCs/>
          <w:lang w:val="fr-FR"/>
        </w:rPr>
        <w:t xml:space="preserve"> devant le tribunal départemental </w:t>
      </w:r>
      <w:r w:rsidR="004C6D08" w:rsidRPr="00844541">
        <w:rPr>
          <w:bCs/>
          <w:lang w:val="fr-FR"/>
        </w:rPr>
        <w:t xml:space="preserve">par </w:t>
      </w:r>
      <w:r w:rsidR="00CF1E04" w:rsidRPr="00844541">
        <w:rPr>
          <w:bCs/>
          <w:lang w:val="fr-FR"/>
        </w:rPr>
        <w:t>le biais d</w:t>
      </w:r>
      <w:r w:rsidR="00844541">
        <w:rPr>
          <w:bCs/>
          <w:lang w:val="fr-FR"/>
        </w:rPr>
        <w:t>’</w:t>
      </w:r>
      <w:r w:rsidR="00F41AA6" w:rsidRPr="00844541">
        <w:rPr>
          <w:bCs/>
          <w:lang w:val="fr-FR"/>
        </w:rPr>
        <w:t>une action en revendication du lieu d</w:t>
      </w:r>
      <w:r w:rsidR="00CF1E04" w:rsidRPr="00844541">
        <w:rPr>
          <w:bCs/>
          <w:lang w:val="fr-FR"/>
        </w:rPr>
        <w:t>e</w:t>
      </w:r>
      <w:r w:rsidR="00F41AA6" w:rsidRPr="00844541">
        <w:rPr>
          <w:bCs/>
          <w:lang w:val="fr-FR"/>
        </w:rPr>
        <w:t xml:space="preserve"> culte litigieux. </w:t>
      </w:r>
      <w:r w:rsidR="00BC54BC" w:rsidRPr="00844541">
        <w:rPr>
          <w:bCs/>
          <w:lang w:val="fr-FR"/>
        </w:rPr>
        <w:t xml:space="preserve">Cela étant, </w:t>
      </w:r>
      <w:r w:rsidR="00BC54BC" w:rsidRPr="00844541">
        <w:rPr>
          <w:lang w:val="fr-FR"/>
        </w:rPr>
        <w:t>les requérants soutien</w:t>
      </w:r>
      <w:r w:rsidR="008A6E0C" w:rsidRPr="00844541">
        <w:rPr>
          <w:lang w:val="fr-FR"/>
        </w:rPr>
        <w:t>nen</w:t>
      </w:r>
      <w:r w:rsidR="00BC54BC" w:rsidRPr="00844541">
        <w:rPr>
          <w:lang w:val="fr-FR"/>
        </w:rPr>
        <w:t xml:space="preserve">t que </w:t>
      </w:r>
      <w:r w:rsidR="002E0D84" w:rsidRPr="00844541">
        <w:rPr>
          <w:lang w:val="fr-FR"/>
        </w:rPr>
        <w:t>le crit</w:t>
      </w:r>
      <w:r w:rsidR="00CB584A" w:rsidRPr="00844541">
        <w:rPr>
          <w:lang w:val="fr-FR"/>
        </w:rPr>
        <w:t>ère</w:t>
      </w:r>
      <w:r w:rsidR="002E0D84" w:rsidRPr="00844541">
        <w:rPr>
          <w:lang w:val="fr-FR"/>
        </w:rPr>
        <w:t xml:space="preserve"> </w:t>
      </w:r>
      <w:r w:rsidR="003759D7" w:rsidRPr="00844541">
        <w:rPr>
          <w:lang w:val="fr-FR"/>
        </w:rPr>
        <w:t xml:space="preserve">fixé par </w:t>
      </w:r>
      <w:r w:rsidR="002E0D84" w:rsidRPr="00844541">
        <w:rPr>
          <w:lang w:val="fr-FR"/>
        </w:rPr>
        <w:t>la loi spéciale</w:t>
      </w:r>
      <w:r w:rsidR="004C6D08" w:rsidRPr="00844541">
        <w:rPr>
          <w:lang w:val="fr-FR"/>
        </w:rPr>
        <w:t>,</w:t>
      </w:r>
      <w:r w:rsidR="002E0D84" w:rsidRPr="00844541">
        <w:rPr>
          <w:lang w:val="fr-FR"/>
        </w:rPr>
        <w:t xml:space="preserve"> </w:t>
      </w:r>
      <w:r w:rsidR="003759D7" w:rsidRPr="00844541">
        <w:rPr>
          <w:lang w:val="fr-FR"/>
        </w:rPr>
        <w:t xml:space="preserve">selon lequel </w:t>
      </w:r>
      <w:r w:rsidR="002E0D84" w:rsidRPr="00844541">
        <w:rPr>
          <w:lang w:val="fr-FR"/>
        </w:rPr>
        <w:t xml:space="preserve">la situation juridique des lieux du culte </w:t>
      </w:r>
      <w:r w:rsidR="003759D7" w:rsidRPr="00844541">
        <w:rPr>
          <w:lang w:val="fr-FR"/>
        </w:rPr>
        <w:t>s</w:t>
      </w:r>
      <w:r w:rsidR="00844541">
        <w:rPr>
          <w:lang w:val="fr-FR"/>
        </w:rPr>
        <w:t>’</w:t>
      </w:r>
      <w:r w:rsidR="003759D7" w:rsidRPr="00844541">
        <w:rPr>
          <w:lang w:val="fr-FR"/>
        </w:rPr>
        <w:t>établit</w:t>
      </w:r>
      <w:r w:rsidR="002E0D84" w:rsidRPr="00844541">
        <w:rPr>
          <w:lang w:val="fr-FR"/>
        </w:rPr>
        <w:t xml:space="preserve"> </w:t>
      </w:r>
      <w:r w:rsidR="00CB584A" w:rsidRPr="00844541">
        <w:rPr>
          <w:lang w:val="fr-FR"/>
        </w:rPr>
        <w:t xml:space="preserve">en prenant en compte « la volonté des </w:t>
      </w:r>
      <w:r w:rsidR="00BC54BC" w:rsidRPr="00844541">
        <w:rPr>
          <w:lang w:val="fr-FR"/>
        </w:rPr>
        <w:t>fidèles</w:t>
      </w:r>
      <w:r w:rsidR="00CB584A" w:rsidRPr="00844541">
        <w:rPr>
          <w:lang w:val="fr-FR"/>
        </w:rPr>
        <w:t xml:space="preserve"> des communautés déten</w:t>
      </w:r>
      <w:r w:rsidR="00BC54BC" w:rsidRPr="00844541">
        <w:rPr>
          <w:lang w:val="fr-FR"/>
        </w:rPr>
        <w:t>trices de</w:t>
      </w:r>
      <w:r w:rsidR="00CB584A" w:rsidRPr="00844541">
        <w:rPr>
          <w:lang w:val="fr-FR"/>
        </w:rPr>
        <w:t xml:space="preserve"> ces biens »</w:t>
      </w:r>
      <w:r w:rsidR="004C6D08" w:rsidRPr="00844541">
        <w:rPr>
          <w:lang w:val="fr-FR"/>
        </w:rPr>
        <w:t>,</w:t>
      </w:r>
      <w:r w:rsidR="00CB584A" w:rsidRPr="00844541">
        <w:rPr>
          <w:lang w:val="fr-FR"/>
        </w:rPr>
        <w:t xml:space="preserve"> </w:t>
      </w:r>
      <w:r w:rsidR="004908A5" w:rsidRPr="00844541">
        <w:rPr>
          <w:lang w:val="fr-FR"/>
        </w:rPr>
        <w:t>constitue une limitation à leur droit d</w:t>
      </w:r>
      <w:r w:rsidR="00844541">
        <w:rPr>
          <w:lang w:val="fr-FR"/>
        </w:rPr>
        <w:t>’</w:t>
      </w:r>
      <w:r w:rsidR="004908A5" w:rsidRPr="00844541">
        <w:rPr>
          <w:lang w:val="fr-FR"/>
        </w:rPr>
        <w:t>accès à un tribunal au motif qu</w:t>
      </w:r>
      <w:r w:rsidR="00844541">
        <w:rPr>
          <w:lang w:val="fr-FR"/>
        </w:rPr>
        <w:t>’</w:t>
      </w:r>
      <w:r w:rsidR="003759D7" w:rsidRPr="00844541">
        <w:rPr>
          <w:lang w:val="fr-FR"/>
        </w:rPr>
        <w:t>il</w:t>
      </w:r>
      <w:r w:rsidR="004908A5" w:rsidRPr="00844541">
        <w:rPr>
          <w:lang w:val="fr-FR"/>
        </w:rPr>
        <w:t xml:space="preserve"> fait prévaloir la volonté de la partie défenderesse dans la procédure</w:t>
      </w:r>
      <w:r w:rsidR="00AB6337" w:rsidRPr="00844541">
        <w:rPr>
          <w:lang w:val="fr-FR"/>
        </w:rPr>
        <w:t>.</w:t>
      </w:r>
    </w:p>
    <w:p w:rsidR="008D6298"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70</w:t>
      </w:r>
      <w:r w:rsidRPr="00844541">
        <w:rPr>
          <w:noProof/>
        </w:rPr>
        <w:fldChar w:fldCharType="end"/>
      </w:r>
      <w:r w:rsidR="00723E95" w:rsidRPr="00844541">
        <w:rPr>
          <w:lang w:val="fr-FR"/>
        </w:rPr>
        <w:t>.  </w:t>
      </w:r>
      <w:r w:rsidR="00685351" w:rsidRPr="00844541">
        <w:rPr>
          <w:lang w:val="fr-FR"/>
        </w:rPr>
        <w:t>La Cour rappelle qu</w:t>
      </w:r>
      <w:r w:rsidR="00844541">
        <w:rPr>
          <w:lang w:val="fr-FR"/>
        </w:rPr>
        <w:t>’</w:t>
      </w:r>
      <w:r w:rsidR="00685351" w:rsidRPr="00844541">
        <w:rPr>
          <w:lang w:val="fr-FR"/>
        </w:rPr>
        <w:t>il ne lui appartient pas d</w:t>
      </w:r>
      <w:r w:rsidR="00844541">
        <w:rPr>
          <w:lang w:val="fr-FR"/>
        </w:rPr>
        <w:t>’</w:t>
      </w:r>
      <w:r w:rsidR="00685351" w:rsidRPr="00844541">
        <w:rPr>
          <w:lang w:val="fr-FR"/>
        </w:rPr>
        <w:t xml:space="preserve">apprécier en soi le système législatif mis en place par le législateur roumain pour </w:t>
      </w:r>
      <w:r w:rsidR="004D046F" w:rsidRPr="00844541">
        <w:rPr>
          <w:lang w:val="fr-FR"/>
        </w:rPr>
        <w:t>régler</w:t>
      </w:r>
      <w:r w:rsidR="00685351" w:rsidRPr="00844541">
        <w:rPr>
          <w:lang w:val="fr-FR"/>
        </w:rPr>
        <w:t xml:space="preserve"> la </w:t>
      </w:r>
      <w:r w:rsidR="00685351" w:rsidRPr="00844541">
        <w:rPr>
          <w:lang w:val="fr-FR"/>
        </w:rPr>
        <w:lastRenderedPageBreak/>
        <w:t>situation juridique des lieux de culte ayant appartenu aux églises gréco</w:t>
      </w:r>
      <w:r w:rsidR="00B22B6F" w:rsidRPr="00844541">
        <w:rPr>
          <w:lang w:val="fr-FR"/>
        </w:rPr>
        <w:noBreakHyphen/>
      </w:r>
      <w:r w:rsidR="00685351" w:rsidRPr="00844541">
        <w:rPr>
          <w:lang w:val="fr-FR"/>
        </w:rPr>
        <w:t>catholiques et transférés pendant le régime totalitaire dans le patrimoine de l</w:t>
      </w:r>
      <w:r w:rsidR="00844541">
        <w:rPr>
          <w:lang w:val="fr-FR"/>
        </w:rPr>
        <w:t>’</w:t>
      </w:r>
      <w:r w:rsidR="00F13E0A" w:rsidRPr="00844541">
        <w:rPr>
          <w:lang w:val="fr-FR"/>
        </w:rPr>
        <w:t>É</w:t>
      </w:r>
      <w:r w:rsidR="00685351" w:rsidRPr="00844541">
        <w:rPr>
          <w:lang w:val="fr-FR"/>
        </w:rPr>
        <w:t>glise orthodoxe.</w:t>
      </w:r>
      <w:r w:rsidR="008A6E0C" w:rsidRPr="00844541">
        <w:rPr>
          <w:lang w:val="fr-FR"/>
        </w:rPr>
        <w:t xml:space="preserve"> Il ne lui appartient pas non plus de trancher </w:t>
      </w:r>
      <w:r w:rsidR="00F018AC" w:rsidRPr="00844541">
        <w:rPr>
          <w:lang w:val="fr-FR"/>
        </w:rPr>
        <w:t>quant aux</w:t>
      </w:r>
      <w:r w:rsidR="008A6E0C" w:rsidRPr="00844541">
        <w:rPr>
          <w:lang w:val="fr-FR"/>
        </w:rPr>
        <w:t xml:space="preserve"> règles de droit applicables en général dans une action en revendication portant sur un lieu de culte. </w:t>
      </w:r>
      <w:r w:rsidR="00F018AC" w:rsidRPr="00844541">
        <w:rPr>
          <w:lang w:val="fr-FR"/>
        </w:rPr>
        <w:t>La Cour</w:t>
      </w:r>
      <w:r w:rsidR="004D046F" w:rsidRPr="00844541">
        <w:rPr>
          <w:lang w:val="fr-FR"/>
        </w:rPr>
        <w:t xml:space="preserve"> se bornera donc, autant que possible, à examiner les problèmes concrets dont elle se trouve saisie (</w:t>
      </w:r>
      <w:r w:rsidR="004D046F" w:rsidRPr="00844541">
        <w:rPr>
          <w:i/>
          <w:lang w:val="fr-FR"/>
        </w:rPr>
        <w:t>Bellet c. France</w:t>
      </w:r>
      <w:r w:rsidR="004D046F" w:rsidRPr="00844541">
        <w:rPr>
          <w:lang w:val="fr-FR"/>
        </w:rPr>
        <w:t>, 4 décembre 1995, § 34, série A n</w:t>
      </w:r>
      <w:r w:rsidR="004D046F" w:rsidRPr="00844541">
        <w:rPr>
          <w:vertAlign w:val="superscript"/>
          <w:lang w:val="fr-FR"/>
        </w:rPr>
        <w:t>o</w:t>
      </w:r>
      <w:r w:rsidR="004D046F" w:rsidRPr="00844541">
        <w:rPr>
          <w:lang w:val="fr-FR"/>
        </w:rPr>
        <w:t xml:space="preserve"> 333</w:t>
      </w:r>
      <w:r w:rsidR="004D046F" w:rsidRPr="00844541">
        <w:rPr>
          <w:lang w:val="fr-FR"/>
        </w:rPr>
        <w:noBreakHyphen/>
        <w:t>B)</w:t>
      </w:r>
      <w:r w:rsidR="008D6298" w:rsidRPr="00844541">
        <w:rPr>
          <w:lang w:val="fr-FR"/>
        </w:rPr>
        <w:t>. Si elle n</w:t>
      </w:r>
      <w:r w:rsidR="00844541">
        <w:rPr>
          <w:lang w:val="fr-FR"/>
        </w:rPr>
        <w:t>’</w:t>
      </w:r>
      <w:r w:rsidR="008D6298" w:rsidRPr="00844541">
        <w:rPr>
          <w:lang w:val="fr-FR"/>
        </w:rPr>
        <w:t>a pas qualité pour substituer sa propre appréciation à celle des autorités nationales quant à l</w:t>
      </w:r>
      <w:r w:rsidR="00844541">
        <w:rPr>
          <w:lang w:val="fr-FR"/>
        </w:rPr>
        <w:t>’</w:t>
      </w:r>
      <w:r w:rsidR="008D6298" w:rsidRPr="00844541">
        <w:rPr>
          <w:lang w:val="fr-FR"/>
        </w:rPr>
        <w:t xml:space="preserve">application du droit interne, il lui appartient de statuer en dernier ressort sur le respect des exigences de la Convention. À cette fin, elle doit néanmoins </w:t>
      </w:r>
      <w:r w:rsidR="00F018AC" w:rsidRPr="00844541">
        <w:rPr>
          <w:lang w:val="fr-FR"/>
        </w:rPr>
        <w:t>en l</w:t>
      </w:r>
      <w:r w:rsidR="00844541">
        <w:rPr>
          <w:lang w:val="fr-FR"/>
        </w:rPr>
        <w:t>’</w:t>
      </w:r>
      <w:r w:rsidR="00F018AC" w:rsidRPr="00844541">
        <w:rPr>
          <w:lang w:val="fr-FR"/>
        </w:rPr>
        <w:t xml:space="preserve">espèce </w:t>
      </w:r>
      <w:r w:rsidR="008D6298" w:rsidRPr="00844541">
        <w:rPr>
          <w:lang w:val="fr-FR"/>
        </w:rPr>
        <w:t xml:space="preserve">se pencher sur le critère de la « volonté des </w:t>
      </w:r>
      <w:r w:rsidR="008C38AA" w:rsidRPr="00844541">
        <w:rPr>
          <w:lang w:val="fr-FR"/>
        </w:rPr>
        <w:t>fidèles</w:t>
      </w:r>
      <w:r w:rsidR="008D6298" w:rsidRPr="00844541">
        <w:rPr>
          <w:lang w:val="fr-FR"/>
        </w:rPr>
        <w:t xml:space="preserve"> des communautés d</w:t>
      </w:r>
      <w:r w:rsidR="003759D7" w:rsidRPr="00844541">
        <w:rPr>
          <w:lang w:val="fr-FR"/>
        </w:rPr>
        <w:t>étentrices de</w:t>
      </w:r>
      <w:r w:rsidR="008D6298" w:rsidRPr="00844541">
        <w:rPr>
          <w:lang w:val="fr-FR"/>
        </w:rPr>
        <w:t xml:space="preserve"> ces biens » pour </w:t>
      </w:r>
      <w:r w:rsidR="003759D7" w:rsidRPr="00844541">
        <w:rPr>
          <w:lang w:val="fr-FR"/>
        </w:rPr>
        <w:t xml:space="preserve">décider </w:t>
      </w:r>
      <w:r w:rsidR="008D6298" w:rsidRPr="00844541">
        <w:rPr>
          <w:lang w:val="fr-FR"/>
        </w:rPr>
        <w:t xml:space="preserve">si </w:t>
      </w:r>
      <w:r w:rsidR="003759D7" w:rsidRPr="00844541">
        <w:rPr>
          <w:lang w:val="fr-FR"/>
        </w:rPr>
        <w:t>l</w:t>
      </w:r>
      <w:r w:rsidR="00844541">
        <w:rPr>
          <w:lang w:val="fr-FR"/>
        </w:rPr>
        <w:t>’</w:t>
      </w:r>
      <w:r w:rsidR="008D6298" w:rsidRPr="00844541">
        <w:rPr>
          <w:lang w:val="fr-FR"/>
        </w:rPr>
        <w:t xml:space="preserve">application </w:t>
      </w:r>
      <w:r w:rsidR="003759D7" w:rsidRPr="00844541">
        <w:rPr>
          <w:lang w:val="fr-FR"/>
        </w:rPr>
        <w:t xml:space="preserve">de celui-ci </w:t>
      </w:r>
      <w:r w:rsidR="007B3774" w:rsidRPr="00844541">
        <w:rPr>
          <w:lang w:val="fr-FR"/>
        </w:rPr>
        <w:t>a</w:t>
      </w:r>
      <w:r w:rsidR="008D6298" w:rsidRPr="00844541">
        <w:rPr>
          <w:lang w:val="fr-FR"/>
        </w:rPr>
        <w:t xml:space="preserve"> port</w:t>
      </w:r>
      <w:r w:rsidR="007B3774" w:rsidRPr="00844541">
        <w:rPr>
          <w:lang w:val="fr-FR"/>
        </w:rPr>
        <w:t>é</w:t>
      </w:r>
      <w:r w:rsidR="008D6298" w:rsidRPr="00844541">
        <w:rPr>
          <w:lang w:val="fr-FR"/>
        </w:rPr>
        <w:t xml:space="preserve"> atteinte au droit d</w:t>
      </w:r>
      <w:r w:rsidR="00844541">
        <w:rPr>
          <w:lang w:val="fr-FR"/>
        </w:rPr>
        <w:t>’</w:t>
      </w:r>
      <w:r w:rsidR="008D6298" w:rsidRPr="00844541">
        <w:rPr>
          <w:lang w:val="fr-FR"/>
        </w:rPr>
        <w:t xml:space="preserve">accès </w:t>
      </w:r>
      <w:r w:rsidR="00F018AC" w:rsidRPr="00844541">
        <w:rPr>
          <w:lang w:val="fr-FR"/>
        </w:rPr>
        <w:t xml:space="preserve">des requérants </w:t>
      </w:r>
      <w:r w:rsidR="008D6298" w:rsidRPr="00844541">
        <w:rPr>
          <w:lang w:val="fr-FR"/>
        </w:rPr>
        <w:t>à un tribunal.</w:t>
      </w:r>
    </w:p>
    <w:p w:rsidR="00B43D08"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71</w:t>
      </w:r>
      <w:r w:rsidRPr="00844541">
        <w:rPr>
          <w:noProof/>
        </w:rPr>
        <w:fldChar w:fldCharType="end"/>
      </w:r>
      <w:r w:rsidR="00723E95" w:rsidRPr="00844541">
        <w:rPr>
          <w:lang w:val="fr-FR"/>
        </w:rPr>
        <w:t>.  </w:t>
      </w:r>
      <w:r w:rsidR="008D6298" w:rsidRPr="00844541">
        <w:rPr>
          <w:lang w:val="fr-FR"/>
        </w:rPr>
        <w:t xml:space="preserve">À cet égard, la Cour constate que </w:t>
      </w:r>
      <w:r w:rsidR="009E668B" w:rsidRPr="00844541">
        <w:rPr>
          <w:lang w:val="fr-FR"/>
        </w:rPr>
        <w:t>l</w:t>
      </w:r>
      <w:r w:rsidR="00CF2FBD" w:rsidRPr="00844541">
        <w:rPr>
          <w:lang w:val="fr-FR"/>
        </w:rPr>
        <w:t xml:space="preserve">es </w:t>
      </w:r>
      <w:r w:rsidR="009E668B" w:rsidRPr="00844541">
        <w:rPr>
          <w:lang w:val="fr-FR"/>
        </w:rPr>
        <w:t xml:space="preserve">juridictions internes </w:t>
      </w:r>
      <w:r w:rsidR="007564C7" w:rsidRPr="00844541">
        <w:rPr>
          <w:lang w:val="fr-FR"/>
        </w:rPr>
        <w:t>ne se sont pas déclarées incompétentes pour connaître de l</w:t>
      </w:r>
      <w:r w:rsidR="00844541">
        <w:rPr>
          <w:lang w:val="fr-FR"/>
        </w:rPr>
        <w:t>’</w:t>
      </w:r>
      <w:r w:rsidR="007564C7" w:rsidRPr="00844541">
        <w:rPr>
          <w:lang w:val="fr-FR"/>
        </w:rPr>
        <w:t xml:space="preserve">affaire mais </w:t>
      </w:r>
      <w:r w:rsidR="004C6D08" w:rsidRPr="00844541">
        <w:rPr>
          <w:lang w:val="fr-FR"/>
        </w:rPr>
        <w:t>qu</w:t>
      </w:r>
      <w:r w:rsidR="00844541">
        <w:rPr>
          <w:lang w:val="fr-FR"/>
        </w:rPr>
        <w:t>’</w:t>
      </w:r>
      <w:r w:rsidR="007564C7" w:rsidRPr="00844541">
        <w:rPr>
          <w:lang w:val="fr-FR"/>
        </w:rPr>
        <w:t xml:space="preserve">elles ont examiné </w:t>
      </w:r>
      <w:r w:rsidR="00DD52BA" w:rsidRPr="00844541">
        <w:rPr>
          <w:lang w:val="fr-FR"/>
        </w:rPr>
        <w:t xml:space="preserve">celle-ci au </w:t>
      </w:r>
      <w:r w:rsidR="007564C7" w:rsidRPr="00844541">
        <w:rPr>
          <w:lang w:val="fr-FR"/>
        </w:rPr>
        <w:t xml:space="preserve">fond avant de la déclarer manifestement mal fondée. </w:t>
      </w:r>
      <w:r w:rsidR="003F420A" w:rsidRPr="00844541">
        <w:rPr>
          <w:lang w:val="fr-FR"/>
        </w:rPr>
        <w:t>Elles</w:t>
      </w:r>
      <w:r w:rsidR="007564C7" w:rsidRPr="00844541">
        <w:rPr>
          <w:lang w:val="fr-FR"/>
        </w:rPr>
        <w:t xml:space="preserve"> ont </w:t>
      </w:r>
      <w:r w:rsidR="003F420A" w:rsidRPr="00844541">
        <w:rPr>
          <w:lang w:val="fr-FR"/>
        </w:rPr>
        <w:t>exposé</w:t>
      </w:r>
      <w:r w:rsidR="007564C7" w:rsidRPr="00844541">
        <w:rPr>
          <w:lang w:val="fr-FR"/>
        </w:rPr>
        <w:t xml:space="preserve"> </w:t>
      </w:r>
      <w:r w:rsidR="003759D7" w:rsidRPr="00844541">
        <w:rPr>
          <w:lang w:val="fr-FR"/>
        </w:rPr>
        <w:t>qu</w:t>
      </w:r>
      <w:r w:rsidR="00844541">
        <w:rPr>
          <w:lang w:val="fr-FR"/>
        </w:rPr>
        <w:t>’</w:t>
      </w:r>
      <w:r w:rsidR="007564C7" w:rsidRPr="00844541">
        <w:rPr>
          <w:lang w:val="fr-FR"/>
        </w:rPr>
        <w:t xml:space="preserve">elles entendaient appliquer le critère de la loi spéciale en </w:t>
      </w:r>
      <w:r w:rsidR="003F420A" w:rsidRPr="00844541">
        <w:rPr>
          <w:lang w:val="fr-FR"/>
        </w:rPr>
        <w:t>recourant à</w:t>
      </w:r>
      <w:r w:rsidR="007564C7" w:rsidRPr="00844541">
        <w:rPr>
          <w:lang w:val="fr-FR"/>
        </w:rPr>
        <w:t xml:space="preserve"> des éléments de fait concrets</w:t>
      </w:r>
      <w:r w:rsidR="00CB657C" w:rsidRPr="00844541">
        <w:rPr>
          <w:lang w:val="fr-FR"/>
        </w:rPr>
        <w:t>.</w:t>
      </w:r>
      <w:r w:rsidR="007564C7" w:rsidRPr="00844541">
        <w:rPr>
          <w:lang w:val="fr-FR"/>
        </w:rPr>
        <w:t xml:space="preserve"> Ainsi, elles ont </w:t>
      </w:r>
      <w:r w:rsidR="003F420A" w:rsidRPr="00844541">
        <w:rPr>
          <w:lang w:val="fr-FR"/>
        </w:rPr>
        <w:t xml:space="preserve">tenu </w:t>
      </w:r>
      <w:r w:rsidR="007564C7" w:rsidRPr="00844541">
        <w:rPr>
          <w:lang w:val="fr-FR"/>
        </w:rPr>
        <w:t xml:space="preserve">compte </w:t>
      </w:r>
      <w:r w:rsidR="003F420A" w:rsidRPr="00844541">
        <w:rPr>
          <w:lang w:val="fr-FR"/>
        </w:rPr>
        <w:t>du</w:t>
      </w:r>
      <w:r w:rsidR="007564C7" w:rsidRPr="00844541">
        <w:rPr>
          <w:lang w:val="fr-FR"/>
        </w:rPr>
        <w:t xml:space="preserve"> contexte historique, </w:t>
      </w:r>
      <w:r w:rsidR="003F420A" w:rsidRPr="00844541">
        <w:rPr>
          <w:lang w:val="fr-FR"/>
        </w:rPr>
        <w:t>d</w:t>
      </w:r>
      <w:r w:rsidR="007564C7" w:rsidRPr="00844541">
        <w:rPr>
          <w:lang w:val="fr-FR"/>
        </w:rPr>
        <w:t>es contributions financières des différentes parties à la construction de l</w:t>
      </w:r>
      <w:r w:rsidR="00844541">
        <w:rPr>
          <w:lang w:val="fr-FR"/>
        </w:rPr>
        <w:t>’</w:t>
      </w:r>
      <w:r w:rsidR="007564C7" w:rsidRPr="00844541">
        <w:rPr>
          <w:lang w:val="fr-FR"/>
        </w:rPr>
        <w:t>église</w:t>
      </w:r>
      <w:r w:rsidR="00DD52BA" w:rsidRPr="00844541">
        <w:rPr>
          <w:lang w:val="fr-FR"/>
        </w:rPr>
        <w:t xml:space="preserve"> et</w:t>
      </w:r>
      <w:r w:rsidR="007564C7" w:rsidRPr="00844541">
        <w:rPr>
          <w:lang w:val="fr-FR"/>
        </w:rPr>
        <w:t xml:space="preserve"> </w:t>
      </w:r>
      <w:r w:rsidR="003F420A" w:rsidRPr="00844541">
        <w:rPr>
          <w:lang w:val="fr-FR"/>
        </w:rPr>
        <w:t xml:space="preserve">de </w:t>
      </w:r>
      <w:r w:rsidR="007564C7" w:rsidRPr="00844541">
        <w:rPr>
          <w:lang w:val="fr-FR"/>
        </w:rPr>
        <w:t>la manière dont ce</w:t>
      </w:r>
      <w:r w:rsidR="00DD52BA" w:rsidRPr="00844541">
        <w:rPr>
          <w:lang w:val="fr-FR"/>
        </w:rPr>
        <w:t>t édifice</w:t>
      </w:r>
      <w:r w:rsidR="007564C7" w:rsidRPr="00844541">
        <w:rPr>
          <w:lang w:val="fr-FR"/>
        </w:rPr>
        <w:t xml:space="preserve"> a été utilisé (paragraphe</w:t>
      </w:r>
      <w:r w:rsidR="002E6A77" w:rsidRPr="00844541">
        <w:rPr>
          <w:lang w:val="fr-FR"/>
        </w:rPr>
        <w:t>s 28 à 30</w:t>
      </w:r>
      <w:r w:rsidR="007564C7" w:rsidRPr="00844541">
        <w:rPr>
          <w:lang w:val="fr-FR"/>
        </w:rPr>
        <w:t xml:space="preserve"> ci-dessus). Elles ont </w:t>
      </w:r>
      <w:r w:rsidR="00A32859" w:rsidRPr="00844541">
        <w:rPr>
          <w:lang w:val="fr-FR"/>
        </w:rPr>
        <w:t xml:space="preserve">procédé à </w:t>
      </w:r>
      <w:r w:rsidR="007564C7" w:rsidRPr="00844541">
        <w:rPr>
          <w:lang w:val="fr-FR"/>
        </w:rPr>
        <w:t xml:space="preserve">un examen dans le temps du critère de la volonté des </w:t>
      </w:r>
      <w:r w:rsidR="00A32859" w:rsidRPr="00844541">
        <w:rPr>
          <w:lang w:val="fr-FR"/>
        </w:rPr>
        <w:t>fidèles des communautés détentrices</w:t>
      </w:r>
      <w:r w:rsidR="007564C7" w:rsidRPr="00844541">
        <w:rPr>
          <w:lang w:val="fr-FR"/>
        </w:rPr>
        <w:t xml:space="preserve"> du bien, </w:t>
      </w:r>
      <w:r w:rsidR="00A32859" w:rsidRPr="00844541">
        <w:rPr>
          <w:lang w:val="fr-FR"/>
        </w:rPr>
        <w:t>et elles ont pris</w:t>
      </w:r>
      <w:r w:rsidR="007564C7" w:rsidRPr="00844541">
        <w:rPr>
          <w:lang w:val="fr-FR"/>
        </w:rPr>
        <w:t xml:space="preserve"> en compte des éléments historiques et socia</w:t>
      </w:r>
      <w:r w:rsidR="003F420A" w:rsidRPr="00844541">
        <w:rPr>
          <w:lang w:val="fr-FR"/>
        </w:rPr>
        <w:t>ux</w:t>
      </w:r>
      <w:r w:rsidR="007564C7" w:rsidRPr="00844541">
        <w:rPr>
          <w:lang w:val="fr-FR"/>
        </w:rPr>
        <w:t xml:space="preserve"> et non pas uniquement des éléments statistiques. </w:t>
      </w:r>
      <w:r w:rsidR="00DD52BA" w:rsidRPr="00844541">
        <w:rPr>
          <w:lang w:val="fr-FR"/>
        </w:rPr>
        <w:t>Elles</w:t>
      </w:r>
      <w:r w:rsidR="00CB657C" w:rsidRPr="00844541">
        <w:rPr>
          <w:lang w:val="fr-FR"/>
        </w:rPr>
        <w:t xml:space="preserve"> ont examiné tous les moyens des requérants au fond, point par point, sans jamais se voir contrainte</w:t>
      </w:r>
      <w:r w:rsidR="003F420A" w:rsidRPr="00844541">
        <w:rPr>
          <w:lang w:val="fr-FR"/>
        </w:rPr>
        <w:t>s</w:t>
      </w:r>
      <w:r w:rsidR="00CB657C" w:rsidRPr="00844541">
        <w:rPr>
          <w:lang w:val="fr-FR"/>
        </w:rPr>
        <w:t xml:space="preserve"> de décliner leur compétence pour y répondre ou pour rechercher les faits pertinents. Elles ont rendu des arrêts soigneusement motivés et les arguments des requérants qui étaient importants pour l</w:t>
      </w:r>
      <w:r w:rsidR="00844541">
        <w:rPr>
          <w:lang w:val="fr-FR"/>
        </w:rPr>
        <w:t>’</w:t>
      </w:r>
      <w:r w:rsidR="00CB657C" w:rsidRPr="00844541">
        <w:rPr>
          <w:lang w:val="fr-FR"/>
        </w:rPr>
        <w:t>issue de l</w:t>
      </w:r>
      <w:r w:rsidR="00844541">
        <w:rPr>
          <w:lang w:val="fr-FR"/>
        </w:rPr>
        <w:t>’</w:t>
      </w:r>
      <w:r w:rsidR="00CB657C" w:rsidRPr="00844541">
        <w:rPr>
          <w:lang w:val="fr-FR"/>
        </w:rPr>
        <w:t>affaire ont fait l</w:t>
      </w:r>
      <w:r w:rsidR="00844541">
        <w:rPr>
          <w:lang w:val="fr-FR"/>
        </w:rPr>
        <w:t>’</w:t>
      </w:r>
      <w:r w:rsidR="00CB657C" w:rsidRPr="00844541">
        <w:rPr>
          <w:lang w:val="fr-FR"/>
        </w:rPr>
        <w:t>objet d</w:t>
      </w:r>
      <w:r w:rsidR="00844541">
        <w:rPr>
          <w:lang w:val="fr-FR"/>
        </w:rPr>
        <w:t>’</w:t>
      </w:r>
      <w:r w:rsidR="00CB657C" w:rsidRPr="00844541">
        <w:rPr>
          <w:lang w:val="fr-FR"/>
        </w:rPr>
        <w:t xml:space="preserve">un examen approfondi. </w:t>
      </w:r>
      <w:r w:rsidR="007564C7" w:rsidRPr="00844541">
        <w:rPr>
          <w:lang w:val="fr-FR"/>
        </w:rPr>
        <w:t xml:space="preserve">La Cour constate </w:t>
      </w:r>
      <w:r w:rsidR="00A32859" w:rsidRPr="00844541">
        <w:rPr>
          <w:lang w:val="fr-FR"/>
        </w:rPr>
        <w:t xml:space="preserve">ainsi </w:t>
      </w:r>
      <w:r w:rsidR="007564C7" w:rsidRPr="00844541">
        <w:rPr>
          <w:lang w:val="fr-FR"/>
        </w:rPr>
        <w:t xml:space="preserve">que les </w:t>
      </w:r>
      <w:r w:rsidR="009E668B" w:rsidRPr="00844541">
        <w:rPr>
          <w:lang w:val="fr-FR"/>
        </w:rPr>
        <w:t xml:space="preserve">juridictions internes ont </w:t>
      </w:r>
      <w:r w:rsidR="00821A54" w:rsidRPr="00844541">
        <w:rPr>
          <w:lang w:val="fr-FR"/>
        </w:rPr>
        <w:t xml:space="preserve">disposé </w:t>
      </w:r>
      <w:r w:rsidR="009E668B" w:rsidRPr="00844541">
        <w:rPr>
          <w:lang w:val="fr-FR"/>
        </w:rPr>
        <w:t>en l</w:t>
      </w:r>
      <w:r w:rsidR="00844541">
        <w:rPr>
          <w:lang w:val="fr-FR"/>
        </w:rPr>
        <w:t>’</w:t>
      </w:r>
      <w:r w:rsidR="009E668B" w:rsidRPr="00844541">
        <w:rPr>
          <w:lang w:val="fr-FR"/>
        </w:rPr>
        <w:t xml:space="preserve">espèce </w:t>
      </w:r>
      <w:r w:rsidR="00821A54" w:rsidRPr="00844541">
        <w:rPr>
          <w:lang w:val="fr-FR"/>
        </w:rPr>
        <w:t xml:space="preserve">de la </w:t>
      </w:r>
      <w:r w:rsidR="009E668B" w:rsidRPr="00844541">
        <w:rPr>
          <w:lang w:val="fr-FR"/>
        </w:rPr>
        <w:t>plénitude de juridiction pour appliquer</w:t>
      </w:r>
      <w:r w:rsidR="007564C7" w:rsidRPr="00844541">
        <w:rPr>
          <w:lang w:val="fr-FR"/>
        </w:rPr>
        <w:t xml:space="preserve"> et interpréter</w:t>
      </w:r>
      <w:r w:rsidR="009E668B" w:rsidRPr="00844541">
        <w:rPr>
          <w:lang w:val="fr-FR"/>
        </w:rPr>
        <w:t xml:space="preserve"> la loi interne, </w:t>
      </w:r>
      <w:r w:rsidR="007564C7" w:rsidRPr="00844541">
        <w:rPr>
          <w:lang w:val="fr-FR"/>
        </w:rPr>
        <w:t xml:space="preserve">sans </w:t>
      </w:r>
      <w:r w:rsidR="00DD52BA" w:rsidRPr="00844541">
        <w:rPr>
          <w:lang w:val="fr-FR"/>
        </w:rPr>
        <w:t>avoir été</w:t>
      </w:r>
      <w:r w:rsidR="007564C7" w:rsidRPr="00844541">
        <w:rPr>
          <w:lang w:val="fr-FR"/>
        </w:rPr>
        <w:t xml:space="preserve"> tenues par le refus formulé par la partie orthodoxe dans la procédure amiable préalable</w:t>
      </w:r>
      <w:r w:rsidR="00376652" w:rsidRPr="00844541">
        <w:rPr>
          <w:lang w:val="fr-FR"/>
        </w:rPr>
        <w:t xml:space="preserve">. En outre, le </w:t>
      </w:r>
      <w:r w:rsidR="00CB657C" w:rsidRPr="00844541">
        <w:rPr>
          <w:lang w:val="fr-FR"/>
        </w:rPr>
        <w:t xml:space="preserve">contrôle </w:t>
      </w:r>
      <w:r w:rsidR="00376652" w:rsidRPr="00844541">
        <w:rPr>
          <w:lang w:val="fr-FR"/>
        </w:rPr>
        <w:t xml:space="preserve">auquel elles ont procédé </w:t>
      </w:r>
      <w:r w:rsidR="00CB657C" w:rsidRPr="00844541">
        <w:rPr>
          <w:lang w:val="fr-FR"/>
        </w:rPr>
        <w:t>était d</w:t>
      </w:r>
      <w:r w:rsidR="00844541">
        <w:rPr>
          <w:lang w:val="fr-FR"/>
        </w:rPr>
        <w:t>’</w:t>
      </w:r>
      <w:r w:rsidR="00CB657C" w:rsidRPr="00844541">
        <w:rPr>
          <w:lang w:val="fr-FR"/>
        </w:rPr>
        <w:t>une étendue suffisante pour satisfaire aux exigences de l</w:t>
      </w:r>
      <w:r w:rsidR="00844541">
        <w:rPr>
          <w:lang w:val="fr-FR"/>
        </w:rPr>
        <w:t>’</w:t>
      </w:r>
      <w:r w:rsidR="00CB657C" w:rsidRPr="00844541">
        <w:rPr>
          <w:lang w:val="fr-FR"/>
        </w:rPr>
        <w:t xml:space="preserve">article 6 § 1 </w:t>
      </w:r>
      <w:r w:rsidR="00EB49C4" w:rsidRPr="00844541">
        <w:rPr>
          <w:lang w:val="fr-FR"/>
        </w:rPr>
        <w:t xml:space="preserve">(voir, </w:t>
      </w:r>
      <w:r w:rsidR="00CB657C" w:rsidRPr="00844541">
        <w:rPr>
          <w:i/>
          <w:lang w:val="fr-FR"/>
        </w:rPr>
        <w:t>mutatis mutandis</w:t>
      </w:r>
      <w:r w:rsidR="00CB657C" w:rsidRPr="00844541">
        <w:rPr>
          <w:lang w:val="fr-FR"/>
        </w:rPr>
        <w:t xml:space="preserve">, </w:t>
      </w:r>
      <w:r w:rsidR="00CB657C" w:rsidRPr="00844541">
        <w:rPr>
          <w:i/>
          <w:lang w:val="fr-FR"/>
        </w:rPr>
        <w:t>Potocka et autres c. Pologne</w:t>
      </w:r>
      <w:r w:rsidR="00CB657C" w:rsidRPr="00844541">
        <w:rPr>
          <w:lang w:val="fr-FR"/>
        </w:rPr>
        <w:t xml:space="preserve">, </w:t>
      </w:r>
      <w:r w:rsidR="00DD52BA" w:rsidRPr="00844541">
        <w:rPr>
          <w:lang w:val="fr-FR"/>
        </w:rPr>
        <w:t>n</w:t>
      </w:r>
      <w:r w:rsidR="00DD52BA" w:rsidRPr="00844541">
        <w:rPr>
          <w:vertAlign w:val="superscript"/>
          <w:lang w:val="fr-FR"/>
        </w:rPr>
        <w:t>o</w:t>
      </w:r>
      <w:r w:rsidR="00DD52BA" w:rsidRPr="00844541">
        <w:rPr>
          <w:lang w:val="fr-FR"/>
        </w:rPr>
        <w:t> </w:t>
      </w:r>
      <w:r w:rsidR="00CB657C" w:rsidRPr="00844541">
        <w:rPr>
          <w:lang w:val="fr-FR"/>
        </w:rPr>
        <w:t>33776/96, §§ 56-59, CEDH 2001</w:t>
      </w:r>
      <w:r w:rsidR="00CB657C" w:rsidRPr="00844541">
        <w:rPr>
          <w:lang w:val="fr-FR"/>
        </w:rPr>
        <w:noBreakHyphen/>
        <w:t>X</w:t>
      </w:r>
      <w:r w:rsidR="00DD52BA" w:rsidRPr="00844541">
        <w:rPr>
          <w:lang w:val="fr-FR"/>
        </w:rPr>
        <w:t>,</w:t>
      </w:r>
      <w:r w:rsidR="00CB657C" w:rsidRPr="00844541">
        <w:rPr>
          <w:lang w:val="fr-FR"/>
        </w:rPr>
        <w:t xml:space="preserve"> et</w:t>
      </w:r>
      <w:r w:rsidR="00DD52BA" w:rsidRPr="00844541">
        <w:rPr>
          <w:lang w:val="fr-FR"/>
        </w:rPr>
        <w:t>,</w:t>
      </w:r>
      <w:r w:rsidR="00CB657C" w:rsidRPr="00844541">
        <w:rPr>
          <w:lang w:val="fr-FR"/>
        </w:rPr>
        <w:t xml:space="preserve"> </w:t>
      </w:r>
      <w:r w:rsidR="004614A1" w:rsidRPr="00844541">
        <w:rPr>
          <w:i/>
          <w:lang w:val="fr-FR"/>
        </w:rPr>
        <w:t>a </w:t>
      </w:r>
      <w:r w:rsidR="00EB49C4" w:rsidRPr="00844541">
        <w:rPr>
          <w:i/>
          <w:lang w:val="fr-FR"/>
        </w:rPr>
        <w:t>contrario</w:t>
      </w:r>
      <w:r w:rsidR="00EB49C4" w:rsidRPr="00844541">
        <w:rPr>
          <w:lang w:val="fr-FR"/>
        </w:rPr>
        <w:t xml:space="preserve">, </w:t>
      </w:r>
      <w:r w:rsidR="00EB49C4" w:rsidRPr="00844541">
        <w:rPr>
          <w:i/>
          <w:lang w:val="fr-FR"/>
        </w:rPr>
        <w:t>Terra Woningen B.V. c. Pays-Bas</w:t>
      </w:r>
      <w:r w:rsidR="00EB49C4" w:rsidRPr="00844541">
        <w:rPr>
          <w:lang w:val="fr-FR"/>
        </w:rPr>
        <w:t>, 17</w:t>
      </w:r>
      <w:r w:rsidR="00140EE4" w:rsidRPr="00844541">
        <w:rPr>
          <w:lang w:val="fr-FR"/>
        </w:rPr>
        <w:t> </w:t>
      </w:r>
      <w:r w:rsidR="00EB49C4" w:rsidRPr="00844541">
        <w:rPr>
          <w:lang w:val="fr-FR"/>
        </w:rPr>
        <w:t>décembre 1996, §</w:t>
      </w:r>
      <w:r w:rsidR="001527AC" w:rsidRPr="00844541">
        <w:rPr>
          <w:lang w:val="fr-FR"/>
        </w:rPr>
        <w:t> </w:t>
      </w:r>
      <w:r w:rsidR="00EB49C4" w:rsidRPr="00844541">
        <w:rPr>
          <w:lang w:val="fr-FR"/>
        </w:rPr>
        <w:t xml:space="preserve">52, </w:t>
      </w:r>
      <w:r w:rsidR="00EB49C4" w:rsidRPr="00844541">
        <w:rPr>
          <w:i/>
          <w:lang w:val="fr-FR"/>
        </w:rPr>
        <w:t xml:space="preserve">Recueil </w:t>
      </w:r>
      <w:r w:rsidR="00EB49C4" w:rsidRPr="00844541">
        <w:rPr>
          <w:lang w:val="fr-FR"/>
        </w:rPr>
        <w:t>1996</w:t>
      </w:r>
      <w:r w:rsidR="00EB49C4" w:rsidRPr="00844541">
        <w:rPr>
          <w:lang w:val="fr-FR"/>
        </w:rPr>
        <w:noBreakHyphen/>
        <w:t>VI)</w:t>
      </w:r>
      <w:r w:rsidR="009E668B" w:rsidRPr="00844541">
        <w:rPr>
          <w:lang w:val="fr-FR"/>
        </w:rPr>
        <w:t>.</w:t>
      </w:r>
    </w:p>
    <w:p w:rsidR="00B43D08"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72</w:t>
      </w:r>
      <w:r w:rsidRPr="00844541">
        <w:rPr>
          <w:noProof/>
        </w:rPr>
        <w:fldChar w:fldCharType="end"/>
      </w:r>
      <w:r w:rsidR="00723E95" w:rsidRPr="00844541">
        <w:rPr>
          <w:lang w:val="fr-FR"/>
        </w:rPr>
        <w:t>.  </w:t>
      </w:r>
      <w:r w:rsidR="000F3E37" w:rsidRPr="00844541">
        <w:rPr>
          <w:lang w:val="fr-FR"/>
        </w:rPr>
        <w:t>La Cour rappelle que l</w:t>
      </w:r>
      <w:r w:rsidR="00844541">
        <w:rPr>
          <w:lang w:val="fr-FR"/>
        </w:rPr>
        <w:t>’</w:t>
      </w:r>
      <w:r w:rsidR="000F3E37" w:rsidRPr="00844541">
        <w:rPr>
          <w:lang w:val="fr-FR"/>
        </w:rPr>
        <w:t>effectivité du droit d</w:t>
      </w:r>
      <w:r w:rsidR="00844541">
        <w:rPr>
          <w:lang w:val="fr-FR"/>
        </w:rPr>
        <w:t>’</w:t>
      </w:r>
      <w:r w:rsidR="000F3E37" w:rsidRPr="00844541">
        <w:rPr>
          <w:lang w:val="fr-FR"/>
        </w:rPr>
        <w:t xml:space="preserve">accès à un tribunal demande </w:t>
      </w:r>
      <w:r w:rsidR="00896E0B" w:rsidRPr="00844541">
        <w:rPr>
          <w:lang w:val="fr-FR"/>
        </w:rPr>
        <w:t>qu</w:t>
      </w:r>
      <w:r w:rsidR="00844541">
        <w:rPr>
          <w:lang w:val="fr-FR"/>
        </w:rPr>
        <w:t>’</w:t>
      </w:r>
      <w:r w:rsidR="000F3E37" w:rsidRPr="00844541">
        <w:rPr>
          <w:lang w:val="fr-FR"/>
        </w:rPr>
        <w:t>un individu jouisse d</w:t>
      </w:r>
      <w:r w:rsidR="00844541">
        <w:rPr>
          <w:lang w:val="fr-FR"/>
        </w:rPr>
        <w:t>’</w:t>
      </w:r>
      <w:r w:rsidR="000F3E37" w:rsidRPr="00844541">
        <w:rPr>
          <w:lang w:val="fr-FR"/>
        </w:rPr>
        <w:t>une possibilité claire et concrète de contester un acte constituant une ingérence dans ses droits (</w:t>
      </w:r>
      <w:r w:rsidR="000F3E37" w:rsidRPr="00844541">
        <w:rPr>
          <w:i/>
          <w:lang w:val="fr-FR"/>
        </w:rPr>
        <w:t>Bellet</w:t>
      </w:r>
      <w:r w:rsidR="00DD52BA" w:rsidRPr="00844541">
        <w:rPr>
          <w:lang w:val="fr-FR"/>
        </w:rPr>
        <w:t>,</w:t>
      </w:r>
      <w:r w:rsidR="000F3E37" w:rsidRPr="00844541">
        <w:rPr>
          <w:lang w:val="fr-FR"/>
        </w:rPr>
        <w:t xml:space="preserve"> précité, §</w:t>
      </w:r>
      <w:r w:rsidR="00B5538D" w:rsidRPr="00844541">
        <w:rPr>
          <w:lang w:val="fr-FR"/>
        </w:rPr>
        <w:t> </w:t>
      </w:r>
      <w:r w:rsidR="000F3E37" w:rsidRPr="00844541">
        <w:rPr>
          <w:lang w:val="fr-FR"/>
        </w:rPr>
        <w:t xml:space="preserve">36). </w:t>
      </w:r>
      <w:r w:rsidR="00DD52BA" w:rsidRPr="00844541">
        <w:rPr>
          <w:lang w:val="fr-FR"/>
        </w:rPr>
        <w:t>Elle constate qu</w:t>
      </w:r>
      <w:r w:rsidR="00844541">
        <w:rPr>
          <w:lang w:val="fr-FR"/>
        </w:rPr>
        <w:t>’</w:t>
      </w:r>
      <w:r w:rsidR="000F3E37" w:rsidRPr="00844541">
        <w:rPr>
          <w:lang w:val="fr-FR"/>
        </w:rPr>
        <w:t>en l</w:t>
      </w:r>
      <w:r w:rsidR="00844541">
        <w:rPr>
          <w:lang w:val="fr-FR"/>
        </w:rPr>
        <w:t>’</w:t>
      </w:r>
      <w:r w:rsidR="000F3E37" w:rsidRPr="00844541">
        <w:rPr>
          <w:lang w:val="fr-FR"/>
        </w:rPr>
        <w:t>espèce les requérants ont bénéficié d</w:t>
      </w:r>
      <w:r w:rsidR="00844541">
        <w:rPr>
          <w:lang w:val="fr-FR"/>
        </w:rPr>
        <w:t>’</w:t>
      </w:r>
      <w:r w:rsidR="000F3E37" w:rsidRPr="00844541">
        <w:rPr>
          <w:lang w:val="fr-FR"/>
        </w:rPr>
        <w:t xml:space="preserve">un examen approfondi de leur action par un juge. </w:t>
      </w:r>
      <w:r w:rsidR="006F663E" w:rsidRPr="00844541">
        <w:rPr>
          <w:lang w:val="fr-FR"/>
        </w:rPr>
        <w:t>Le seul fait qu</w:t>
      </w:r>
      <w:r w:rsidR="00844541">
        <w:rPr>
          <w:lang w:val="fr-FR"/>
        </w:rPr>
        <w:t>’</w:t>
      </w:r>
      <w:r w:rsidR="000F3E37" w:rsidRPr="00844541">
        <w:rPr>
          <w:lang w:val="fr-FR"/>
        </w:rPr>
        <w:t>ils</w:t>
      </w:r>
      <w:r w:rsidR="006F663E" w:rsidRPr="00844541">
        <w:rPr>
          <w:lang w:val="fr-FR"/>
        </w:rPr>
        <w:t xml:space="preserve"> estime</w:t>
      </w:r>
      <w:r w:rsidR="000F3E37" w:rsidRPr="00844541">
        <w:rPr>
          <w:lang w:val="fr-FR"/>
        </w:rPr>
        <w:t>nt</w:t>
      </w:r>
      <w:r w:rsidR="006F663E" w:rsidRPr="00844541">
        <w:rPr>
          <w:lang w:val="fr-FR"/>
        </w:rPr>
        <w:t xml:space="preserve"> injuste le critère prévu par la loi spéciale, à savoir « la volonté des </w:t>
      </w:r>
      <w:r w:rsidR="007564C7" w:rsidRPr="00844541">
        <w:rPr>
          <w:lang w:val="fr-FR"/>
        </w:rPr>
        <w:t>fidèles</w:t>
      </w:r>
      <w:r w:rsidR="006F663E" w:rsidRPr="00844541">
        <w:rPr>
          <w:lang w:val="fr-FR"/>
        </w:rPr>
        <w:t xml:space="preserve"> des </w:t>
      </w:r>
      <w:r w:rsidR="006F663E" w:rsidRPr="00844541">
        <w:rPr>
          <w:lang w:val="fr-FR"/>
        </w:rPr>
        <w:lastRenderedPageBreak/>
        <w:t>communautés déten</w:t>
      </w:r>
      <w:r w:rsidR="007564C7" w:rsidRPr="00844541">
        <w:rPr>
          <w:lang w:val="fr-FR"/>
        </w:rPr>
        <w:t>trices des</w:t>
      </w:r>
      <w:r w:rsidR="006F663E" w:rsidRPr="00844541">
        <w:rPr>
          <w:lang w:val="fr-FR"/>
        </w:rPr>
        <w:t xml:space="preserve"> biens », n</w:t>
      </w:r>
      <w:r w:rsidR="00844541">
        <w:rPr>
          <w:lang w:val="fr-FR"/>
        </w:rPr>
        <w:t>’</w:t>
      </w:r>
      <w:r w:rsidR="006F663E" w:rsidRPr="00844541">
        <w:rPr>
          <w:lang w:val="fr-FR"/>
        </w:rPr>
        <w:t>est pas suffisant pour rendre</w:t>
      </w:r>
      <w:r w:rsidR="00DD52BA" w:rsidRPr="00844541">
        <w:rPr>
          <w:lang w:val="fr-FR"/>
        </w:rPr>
        <w:t xml:space="preserve"> ineffectif</w:t>
      </w:r>
      <w:r w:rsidR="006F663E" w:rsidRPr="00844541">
        <w:rPr>
          <w:lang w:val="fr-FR"/>
        </w:rPr>
        <w:t xml:space="preserve"> leur droit </w:t>
      </w:r>
      <w:r w:rsidR="00961754" w:rsidRPr="00844541">
        <w:rPr>
          <w:lang w:val="fr-FR"/>
        </w:rPr>
        <w:t>d</w:t>
      </w:r>
      <w:r w:rsidR="00844541">
        <w:rPr>
          <w:lang w:val="fr-FR"/>
        </w:rPr>
        <w:t>’</w:t>
      </w:r>
      <w:r w:rsidR="00961754" w:rsidRPr="00844541">
        <w:rPr>
          <w:lang w:val="fr-FR"/>
        </w:rPr>
        <w:t xml:space="preserve">accès </w:t>
      </w:r>
      <w:r w:rsidR="006F663E" w:rsidRPr="00844541">
        <w:rPr>
          <w:lang w:val="fr-FR"/>
        </w:rPr>
        <w:t>à un tribunal.</w:t>
      </w:r>
      <w:bookmarkStart w:id="19" w:name="P72"/>
    </w:p>
    <w:p w:rsidR="009E668B" w:rsidRPr="00844541" w:rsidRDefault="00663CD2"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73</w:t>
      </w:r>
      <w:r w:rsidRPr="00844541">
        <w:rPr>
          <w:noProof/>
        </w:rPr>
        <w:fldChar w:fldCharType="end"/>
      </w:r>
      <w:bookmarkEnd w:id="19"/>
      <w:r w:rsidR="00723E95" w:rsidRPr="00844541">
        <w:rPr>
          <w:lang w:val="fr-FR"/>
        </w:rPr>
        <w:t>.  </w:t>
      </w:r>
      <w:r w:rsidR="00A43407" w:rsidRPr="00844541">
        <w:rPr>
          <w:lang w:val="fr-FR"/>
        </w:rPr>
        <w:t>Eu égard à l</w:t>
      </w:r>
      <w:r w:rsidR="00844541">
        <w:rPr>
          <w:lang w:val="fr-FR"/>
        </w:rPr>
        <w:t>’</w:t>
      </w:r>
      <w:r w:rsidR="00A43407" w:rsidRPr="00844541">
        <w:rPr>
          <w:lang w:val="fr-FR"/>
        </w:rPr>
        <w:t xml:space="preserve">ensemble des circonstances de la </w:t>
      </w:r>
      <w:r w:rsidR="000F3E37" w:rsidRPr="00844541">
        <w:rPr>
          <w:lang w:val="fr-FR"/>
        </w:rPr>
        <w:t>c</w:t>
      </w:r>
      <w:r w:rsidR="00A43407" w:rsidRPr="00844541">
        <w:rPr>
          <w:lang w:val="fr-FR"/>
        </w:rPr>
        <w:t xml:space="preserve">ause, la Cour </w:t>
      </w:r>
      <w:r w:rsidR="00DD52BA" w:rsidRPr="00844541">
        <w:rPr>
          <w:lang w:val="fr-FR"/>
        </w:rPr>
        <w:t xml:space="preserve">estime </w:t>
      </w:r>
      <w:r w:rsidR="00A43407" w:rsidRPr="00844541">
        <w:rPr>
          <w:lang w:val="fr-FR"/>
        </w:rPr>
        <w:t xml:space="preserve">que les requérants ont </w:t>
      </w:r>
      <w:r w:rsidR="00376652" w:rsidRPr="00844541">
        <w:rPr>
          <w:lang w:val="fr-FR"/>
        </w:rPr>
        <w:t>pu exercer leur</w:t>
      </w:r>
      <w:r w:rsidR="00A43407" w:rsidRPr="00844541">
        <w:rPr>
          <w:lang w:val="fr-FR"/>
        </w:rPr>
        <w:t xml:space="preserve"> droit d</w:t>
      </w:r>
      <w:r w:rsidR="00844541">
        <w:rPr>
          <w:lang w:val="fr-FR"/>
        </w:rPr>
        <w:t>’</w:t>
      </w:r>
      <w:r w:rsidR="00A43407" w:rsidRPr="00844541">
        <w:rPr>
          <w:lang w:val="fr-FR"/>
        </w:rPr>
        <w:t>accès à un tribunal. Partant, il n</w:t>
      </w:r>
      <w:r w:rsidR="00844541">
        <w:rPr>
          <w:lang w:val="fr-FR"/>
        </w:rPr>
        <w:t>’</w:t>
      </w:r>
      <w:r w:rsidR="00A43407" w:rsidRPr="00844541">
        <w:rPr>
          <w:lang w:val="fr-FR"/>
        </w:rPr>
        <w:t>y a pas eu violation de l</w:t>
      </w:r>
      <w:r w:rsidR="00844541">
        <w:rPr>
          <w:lang w:val="fr-FR"/>
        </w:rPr>
        <w:t>’</w:t>
      </w:r>
      <w:r w:rsidR="00A43407" w:rsidRPr="00844541">
        <w:rPr>
          <w:lang w:val="fr-FR"/>
        </w:rPr>
        <w:t>article 6 § 1 de la Convention.</w:t>
      </w:r>
    </w:p>
    <w:p w:rsidR="00210136" w:rsidRPr="00844541" w:rsidRDefault="009431DE" w:rsidP="00844541">
      <w:pPr>
        <w:pStyle w:val="ECHRHeading3"/>
      </w:pPr>
      <w:r w:rsidRPr="00844541">
        <w:t>2</w:t>
      </w:r>
      <w:r w:rsidR="008F1F0C" w:rsidRPr="00844541">
        <w:t>.</w:t>
      </w:r>
      <w:r w:rsidR="00875B62" w:rsidRPr="00844541">
        <w:t>  </w:t>
      </w:r>
      <w:r w:rsidR="008F1F0C" w:rsidRPr="00844541">
        <w:t>Sur la méconnaissance alléguée</w:t>
      </w:r>
      <w:r w:rsidR="00210136" w:rsidRPr="00844541">
        <w:t xml:space="preserve"> du principe de </w:t>
      </w:r>
      <w:r w:rsidR="008F1F0C" w:rsidRPr="00844541">
        <w:t xml:space="preserve">la </w:t>
      </w:r>
      <w:r w:rsidR="00210136" w:rsidRPr="00844541">
        <w:t>sécurité juridique</w:t>
      </w:r>
    </w:p>
    <w:p w:rsidR="00FF35FD" w:rsidRPr="00844541" w:rsidRDefault="00FF35FD" w:rsidP="00844541">
      <w:pPr>
        <w:pStyle w:val="ECHRHeading4"/>
      </w:pPr>
      <w:r w:rsidRPr="00844541">
        <w:t>a)</w:t>
      </w:r>
      <w:r w:rsidR="00C37E41" w:rsidRPr="00844541">
        <w:t>  </w:t>
      </w:r>
      <w:r w:rsidRPr="00844541">
        <w:t>Les arguments des parties</w:t>
      </w:r>
    </w:p>
    <w:p w:rsidR="00955247" w:rsidRPr="00844541" w:rsidRDefault="00955247" w:rsidP="00844541">
      <w:pPr>
        <w:pStyle w:val="ECHRHeading5"/>
      </w:pPr>
      <w:r w:rsidRPr="00844541">
        <w:t>i.</w:t>
      </w:r>
      <w:r w:rsidR="00C37E41" w:rsidRPr="00844541">
        <w:t>  </w:t>
      </w:r>
      <w:r w:rsidRPr="00844541">
        <w:t>Le</w:t>
      </w:r>
      <w:r w:rsidR="003F420A" w:rsidRPr="00844541">
        <w:t>s</w:t>
      </w:r>
      <w:r w:rsidRPr="00844541">
        <w:t xml:space="preserve"> requérant</w:t>
      </w:r>
      <w:r w:rsidR="003F420A" w:rsidRPr="00844541">
        <w:t>s</w:t>
      </w:r>
    </w:p>
    <w:p w:rsidR="00B43D08"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74</w:t>
      </w:r>
      <w:r w:rsidRPr="00844541">
        <w:rPr>
          <w:noProof/>
        </w:rPr>
        <w:fldChar w:fldCharType="end"/>
      </w:r>
      <w:r w:rsidR="00723E95" w:rsidRPr="00844541">
        <w:rPr>
          <w:lang w:val="fr-FR"/>
        </w:rPr>
        <w:t>.  </w:t>
      </w:r>
      <w:r w:rsidR="00FA5828" w:rsidRPr="00844541">
        <w:rPr>
          <w:lang w:val="fr-FR"/>
        </w:rPr>
        <w:t>L</w:t>
      </w:r>
      <w:r w:rsidR="00D7010B" w:rsidRPr="00844541">
        <w:rPr>
          <w:lang w:val="fr-FR"/>
        </w:rPr>
        <w:t>es</w:t>
      </w:r>
      <w:r w:rsidR="00FA5828" w:rsidRPr="00844541">
        <w:rPr>
          <w:lang w:val="fr-FR"/>
        </w:rPr>
        <w:t xml:space="preserve"> requérant</w:t>
      </w:r>
      <w:r w:rsidR="00D7010B" w:rsidRPr="00844541">
        <w:rPr>
          <w:lang w:val="fr-FR"/>
        </w:rPr>
        <w:t>s</w:t>
      </w:r>
      <w:r w:rsidR="00F618F2" w:rsidRPr="00844541">
        <w:rPr>
          <w:lang w:val="fr-FR"/>
        </w:rPr>
        <w:t xml:space="preserve"> considère</w:t>
      </w:r>
      <w:r w:rsidR="007E235B" w:rsidRPr="00844541">
        <w:rPr>
          <w:lang w:val="fr-FR"/>
        </w:rPr>
        <w:t>nt</w:t>
      </w:r>
      <w:r w:rsidR="00F618F2" w:rsidRPr="00844541">
        <w:rPr>
          <w:lang w:val="fr-FR"/>
        </w:rPr>
        <w:t xml:space="preserve"> que l</w:t>
      </w:r>
      <w:r w:rsidR="00844541">
        <w:rPr>
          <w:lang w:val="fr-FR"/>
        </w:rPr>
        <w:t>’</w:t>
      </w:r>
      <w:r w:rsidR="00F618F2" w:rsidRPr="00844541">
        <w:rPr>
          <w:lang w:val="fr-FR"/>
        </w:rPr>
        <w:t>application du critère prévu par la loi spéciale dans une action en revendication de droit commun n</w:t>
      </w:r>
      <w:r w:rsidR="00844541">
        <w:rPr>
          <w:lang w:val="fr-FR"/>
        </w:rPr>
        <w:t>’</w:t>
      </w:r>
      <w:r w:rsidR="00F618F2" w:rsidRPr="00844541">
        <w:rPr>
          <w:lang w:val="fr-FR"/>
        </w:rPr>
        <w:t>était pas prévisible</w:t>
      </w:r>
      <w:r w:rsidR="00FA5828" w:rsidRPr="00844541">
        <w:rPr>
          <w:lang w:val="fr-FR"/>
        </w:rPr>
        <w:t xml:space="preserve">. </w:t>
      </w:r>
      <w:r w:rsidR="00052E5D" w:rsidRPr="00844541">
        <w:rPr>
          <w:lang w:val="fr-FR"/>
        </w:rPr>
        <w:t>Ils</w:t>
      </w:r>
      <w:r w:rsidR="00FA5828" w:rsidRPr="00844541">
        <w:rPr>
          <w:lang w:val="fr-FR"/>
        </w:rPr>
        <w:t xml:space="preserve"> </w:t>
      </w:r>
      <w:r w:rsidR="000D2E52" w:rsidRPr="00844541">
        <w:rPr>
          <w:lang w:val="fr-FR"/>
        </w:rPr>
        <w:t>arguent à cet égard</w:t>
      </w:r>
      <w:r w:rsidR="00FA5828" w:rsidRPr="00844541">
        <w:rPr>
          <w:lang w:val="fr-FR"/>
        </w:rPr>
        <w:t xml:space="preserve"> que la jurisprudence de la Haute Cour à ce sujet a été inconstante dans les années qui ont suivi l</w:t>
      </w:r>
      <w:r w:rsidR="00844541">
        <w:rPr>
          <w:lang w:val="fr-FR"/>
        </w:rPr>
        <w:t>’</w:t>
      </w:r>
      <w:r w:rsidR="00FA5828" w:rsidRPr="00844541">
        <w:rPr>
          <w:lang w:val="fr-FR"/>
        </w:rPr>
        <w:t>entrée en vigueur de la loi n</w:t>
      </w:r>
      <w:r w:rsidR="00FA5828" w:rsidRPr="00844541">
        <w:rPr>
          <w:vertAlign w:val="superscript"/>
          <w:lang w:val="fr-FR"/>
        </w:rPr>
        <w:t>o</w:t>
      </w:r>
      <w:r w:rsidR="007460E4" w:rsidRPr="00844541">
        <w:rPr>
          <w:lang w:val="fr-FR"/>
        </w:rPr>
        <w:t> </w:t>
      </w:r>
      <w:r w:rsidR="00FA5828" w:rsidRPr="00844541">
        <w:rPr>
          <w:lang w:val="fr-FR"/>
        </w:rPr>
        <w:t>182/2005 et que ce n</w:t>
      </w:r>
      <w:r w:rsidR="00844541">
        <w:rPr>
          <w:lang w:val="fr-FR"/>
        </w:rPr>
        <w:t>’</w:t>
      </w:r>
      <w:r w:rsidR="00052E5D" w:rsidRPr="00844541">
        <w:rPr>
          <w:lang w:val="fr-FR"/>
        </w:rPr>
        <w:t>est</w:t>
      </w:r>
      <w:r w:rsidR="00FA5828" w:rsidRPr="00844541">
        <w:rPr>
          <w:lang w:val="fr-FR"/>
        </w:rPr>
        <w:t xml:space="preserve"> que dans les années 2012 et 2013 que la jurisprudence de la haute juridiction </w:t>
      </w:r>
      <w:r w:rsidR="000D2E52" w:rsidRPr="00844541">
        <w:rPr>
          <w:lang w:val="fr-FR"/>
        </w:rPr>
        <w:t>a, selon eux, atteint une quasi</w:t>
      </w:r>
      <w:r w:rsidR="00497895" w:rsidRPr="00844541">
        <w:rPr>
          <w:lang w:val="fr-FR"/>
        </w:rPr>
        <w:noBreakHyphen/>
      </w:r>
      <w:r w:rsidR="00FA5828" w:rsidRPr="00844541">
        <w:rPr>
          <w:lang w:val="fr-FR"/>
        </w:rPr>
        <w:t>constan</w:t>
      </w:r>
      <w:r w:rsidR="000D2E52" w:rsidRPr="00844541">
        <w:rPr>
          <w:lang w:val="fr-FR"/>
        </w:rPr>
        <w:t>c</w:t>
      </w:r>
      <w:r w:rsidR="00FA5828" w:rsidRPr="00844541">
        <w:rPr>
          <w:lang w:val="fr-FR"/>
        </w:rPr>
        <w:t>e dans l</w:t>
      </w:r>
      <w:r w:rsidR="00844541">
        <w:rPr>
          <w:lang w:val="fr-FR"/>
        </w:rPr>
        <w:t>’</w:t>
      </w:r>
      <w:r w:rsidR="00FA5828" w:rsidRPr="00844541">
        <w:rPr>
          <w:lang w:val="fr-FR"/>
        </w:rPr>
        <w:t xml:space="preserve">application du critère litigieux. </w:t>
      </w:r>
      <w:r w:rsidR="007460E4" w:rsidRPr="00844541">
        <w:rPr>
          <w:lang w:val="fr-FR"/>
        </w:rPr>
        <w:t>Ils</w:t>
      </w:r>
      <w:r w:rsidR="00FA5828" w:rsidRPr="00844541">
        <w:rPr>
          <w:lang w:val="fr-FR"/>
        </w:rPr>
        <w:t xml:space="preserve"> </w:t>
      </w:r>
      <w:r w:rsidR="00376652" w:rsidRPr="00844541">
        <w:rPr>
          <w:lang w:val="fr-FR"/>
        </w:rPr>
        <w:t xml:space="preserve">dénoncent </w:t>
      </w:r>
      <w:r w:rsidR="00FA5828" w:rsidRPr="00844541">
        <w:rPr>
          <w:lang w:val="fr-FR"/>
        </w:rPr>
        <w:t xml:space="preserve">ainsi la divergence de jurisprudence </w:t>
      </w:r>
      <w:r w:rsidR="000D2E52" w:rsidRPr="00844541">
        <w:rPr>
          <w:lang w:val="fr-FR"/>
        </w:rPr>
        <w:t xml:space="preserve">qui existerait </w:t>
      </w:r>
      <w:r w:rsidR="00961754" w:rsidRPr="00844541">
        <w:rPr>
          <w:lang w:val="fr-FR"/>
        </w:rPr>
        <w:t xml:space="preserve">à la fois </w:t>
      </w:r>
      <w:r w:rsidR="00FA5828" w:rsidRPr="00844541">
        <w:rPr>
          <w:lang w:val="fr-FR"/>
        </w:rPr>
        <w:t xml:space="preserve">au sein de la plus haute juridiction dans des décisions </w:t>
      </w:r>
      <w:r w:rsidR="00376652" w:rsidRPr="00844541">
        <w:rPr>
          <w:lang w:val="fr-FR"/>
        </w:rPr>
        <w:t>qui sont, d</w:t>
      </w:r>
      <w:r w:rsidR="00844541">
        <w:rPr>
          <w:lang w:val="fr-FR"/>
        </w:rPr>
        <w:t>’</w:t>
      </w:r>
      <w:r w:rsidR="00376652" w:rsidRPr="00844541">
        <w:rPr>
          <w:lang w:val="fr-FR"/>
        </w:rPr>
        <w:t xml:space="preserve">après eux, </w:t>
      </w:r>
      <w:r w:rsidR="00FA5828" w:rsidRPr="00844541">
        <w:rPr>
          <w:lang w:val="fr-FR"/>
        </w:rPr>
        <w:t>rendues parfois par les mêmes juges</w:t>
      </w:r>
      <w:r w:rsidR="00961754" w:rsidRPr="00844541">
        <w:rPr>
          <w:lang w:val="fr-FR"/>
        </w:rPr>
        <w:t>,</w:t>
      </w:r>
      <w:r w:rsidR="00FA5828" w:rsidRPr="00844541">
        <w:rPr>
          <w:lang w:val="fr-FR"/>
        </w:rPr>
        <w:t xml:space="preserve"> et au niveau des juridictions inférieures.</w:t>
      </w:r>
    </w:p>
    <w:p w:rsidR="00FA5828"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75</w:t>
      </w:r>
      <w:r w:rsidRPr="00844541">
        <w:rPr>
          <w:noProof/>
        </w:rPr>
        <w:fldChar w:fldCharType="end"/>
      </w:r>
      <w:r w:rsidR="00723E95" w:rsidRPr="00844541">
        <w:rPr>
          <w:lang w:val="fr-FR"/>
        </w:rPr>
        <w:t>.  </w:t>
      </w:r>
      <w:r w:rsidR="00D7010B" w:rsidRPr="00844541">
        <w:rPr>
          <w:lang w:val="fr-FR"/>
        </w:rPr>
        <w:t>Ils</w:t>
      </w:r>
      <w:r w:rsidR="00FA5828" w:rsidRPr="00844541">
        <w:rPr>
          <w:lang w:val="fr-FR"/>
        </w:rPr>
        <w:t xml:space="preserve"> indique</w:t>
      </w:r>
      <w:r w:rsidR="00D7010B" w:rsidRPr="00844541">
        <w:rPr>
          <w:lang w:val="fr-FR"/>
        </w:rPr>
        <w:t>nt</w:t>
      </w:r>
      <w:r w:rsidR="00FA5828" w:rsidRPr="00844541">
        <w:rPr>
          <w:lang w:val="fr-FR"/>
        </w:rPr>
        <w:t xml:space="preserve"> que</w:t>
      </w:r>
      <w:r w:rsidR="000D2E52" w:rsidRPr="00844541">
        <w:rPr>
          <w:lang w:val="fr-FR"/>
        </w:rPr>
        <w:t>,</w:t>
      </w:r>
      <w:r w:rsidR="00FA5828" w:rsidRPr="00844541">
        <w:rPr>
          <w:lang w:val="fr-FR"/>
        </w:rPr>
        <w:t xml:space="preserve"> bien que vingt-quatre ans</w:t>
      </w:r>
      <w:r w:rsidR="007460E4" w:rsidRPr="00844541">
        <w:rPr>
          <w:lang w:val="fr-FR"/>
        </w:rPr>
        <w:t xml:space="preserve"> se</w:t>
      </w:r>
      <w:r w:rsidR="00FA5828" w:rsidRPr="00844541">
        <w:rPr>
          <w:lang w:val="fr-FR"/>
        </w:rPr>
        <w:t xml:space="preserve"> soient </w:t>
      </w:r>
      <w:r w:rsidR="007460E4" w:rsidRPr="00844541">
        <w:rPr>
          <w:lang w:val="fr-FR"/>
        </w:rPr>
        <w:t>écoulés</w:t>
      </w:r>
      <w:r w:rsidR="00FA5828" w:rsidRPr="00844541">
        <w:rPr>
          <w:lang w:val="fr-FR"/>
        </w:rPr>
        <w:t xml:space="preserve"> depuis l</w:t>
      </w:r>
      <w:r w:rsidR="00844541">
        <w:rPr>
          <w:lang w:val="fr-FR"/>
        </w:rPr>
        <w:t>’</w:t>
      </w:r>
      <w:r w:rsidR="00FA5828" w:rsidRPr="00844541">
        <w:rPr>
          <w:lang w:val="fr-FR"/>
        </w:rPr>
        <w:t>entrée en vigueur du décret-loi n</w:t>
      </w:r>
      <w:r w:rsidR="00FA5828" w:rsidRPr="00844541">
        <w:rPr>
          <w:vertAlign w:val="superscript"/>
          <w:lang w:val="fr-FR"/>
        </w:rPr>
        <w:t>o</w:t>
      </w:r>
      <w:r w:rsidR="00FA5828" w:rsidRPr="00844541">
        <w:rPr>
          <w:lang w:val="fr-FR"/>
        </w:rPr>
        <w:t xml:space="preserve"> 126/1990, </w:t>
      </w:r>
      <w:r w:rsidR="007460E4" w:rsidRPr="00844541">
        <w:rPr>
          <w:lang w:val="fr-FR"/>
        </w:rPr>
        <w:t>le droit interne applicable aux litiges portant sur les lieux d</w:t>
      </w:r>
      <w:r w:rsidR="0026368F" w:rsidRPr="00844541">
        <w:rPr>
          <w:lang w:val="fr-FR"/>
        </w:rPr>
        <w:t>e</w:t>
      </w:r>
      <w:r w:rsidR="007460E4" w:rsidRPr="00844541">
        <w:rPr>
          <w:lang w:val="fr-FR"/>
        </w:rPr>
        <w:t xml:space="preserve"> culte n</w:t>
      </w:r>
      <w:r w:rsidR="00844541">
        <w:rPr>
          <w:lang w:val="fr-FR"/>
        </w:rPr>
        <w:t>’</w:t>
      </w:r>
      <w:r w:rsidR="007460E4" w:rsidRPr="00844541">
        <w:rPr>
          <w:lang w:val="fr-FR"/>
        </w:rPr>
        <w:t xml:space="preserve">est toujours pas clair, surtout </w:t>
      </w:r>
      <w:r w:rsidR="00961754" w:rsidRPr="00844541">
        <w:rPr>
          <w:lang w:val="fr-FR"/>
        </w:rPr>
        <w:t>quant à</w:t>
      </w:r>
      <w:r w:rsidR="007460E4" w:rsidRPr="00844541">
        <w:rPr>
          <w:lang w:val="fr-FR"/>
        </w:rPr>
        <w:t xml:space="preserve"> </w:t>
      </w:r>
      <w:r w:rsidR="00FA5828" w:rsidRPr="00844541">
        <w:rPr>
          <w:lang w:val="fr-FR"/>
        </w:rPr>
        <w:t xml:space="preserve">la manière dont </w:t>
      </w:r>
      <w:r w:rsidR="007460E4" w:rsidRPr="00844541">
        <w:rPr>
          <w:lang w:val="fr-FR"/>
        </w:rPr>
        <w:t xml:space="preserve">la loi spéciale et le code civil </w:t>
      </w:r>
      <w:r w:rsidR="003C0103" w:rsidRPr="00844541">
        <w:rPr>
          <w:lang w:val="fr-FR"/>
        </w:rPr>
        <w:t xml:space="preserve">devraient </w:t>
      </w:r>
      <w:r w:rsidR="00FA5828" w:rsidRPr="00844541">
        <w:rPr>
          <w:lang w:val="fr-FR"/>
        </w:rPr>
        <w:t>se combiner. Selon e</w:t>
      </w:r>
      <w:r w:rsidR="007E235B" w:rsidRPr="00844541">
        <w:rPr>
          <w:lang w:val="fr-FR"/>
        </w:rPr>
        <w:t>ux</w:t>
      </w:r>
      <w:r w:rsidR="00FA5828" w:rsidRPr="00844541">
        <w:rPr>
          <w:lang w:val="fr-FR"/>
        </w:rPr>
        <w:t xml:space="preserve">, il ressort clairement de la jurisprudence des juridictions internes que </w:t>
      </w:r>
      <w:r w:rsidR="003C0103" w:rsidRPr="00844541">
        <w:rPr>
          <w:lang w:val="fr-FR"/>
        </w:rPr>
        <w:t>celles-ci</w:t>
      </w:r>
      <w:r w:rsidR="00FA5828" w:rsidRPr="00844541">
        <w:rPr>
          <w:lang w:val="fr-FR"/>
        </w:rPr>
        <w:t xml:space="preserve"> prenaient en compte et interprétaient différents éléments dans le seul but de </w:t>
      </w:r>
      <w:r w:rsidR="00961754" w:rsidRPr="00844541">
        <w:rPr>
          <w:lang w:val="fr-FR"/>
        </w:rPr>
        <w:t>désavantager</w:t>
      </w:r>
      <w:r w:rsidR="00FA5828" w:rsidRPr="00844541">
        <w:rPr>
          <w:lang w:val="fr-FR"/>
        </w:rPr>
        <w:t xml:space="preserve"> la partie gréco-catholique. L</w:t>
      </w:r>
      <w:r w:rsidR="00896F1C" w:rsidRPr="00844541">
        <w:rPr>
          <w:lang w:val="fr-FR"/>
        </w:rPr>
        <w:t>es</w:t>
      </w:r>
      <w:r w:rsidR="00FA5828" w:rsidRPr="00844541">
        <w:rPr>
          <w:lang w:val="fr-FR"/>
        </w:rPr>
        <w:t xml:space="preserve"> requérant</w:t>
      </w:r>
      <w:r w:rsidR="00896F1C" w:rsidRPr="00844541">
        <w:rPr>
          <w:lang w:val="fr-FR"/>
        </w:rPr>
        <w:t>s</w:t>
      </w:r>
      <w:r w:rsidR="00FA5828" w:rsidRPr="00844541">
        <w:rPr>
          <w:lang w:val="fr-FR"/>
        </w:rPr>
        <w:t xml:space="preserve"> </w:t>
      </w:r>
      <w:r w:rsidR="000D2E52" w:rsidRPr="00844541">
        <w:rPr>
          <w:lang w:val="fr-FR"/>
        </w:rPr>
        <w:t xml:space="preserve">indiquent </w:t>
      </w:r>
      <w:r w:rsidR="00FA5828" w:rsidRPr="00844541">
        <w:rPr>
          <w:lang w:val="fr-FR"/>
        </w:rPr>
        <w:t>enfin que l</w:t>
      </w:r>
      <w:r w:rsidR="00844541">
        <w:rPr>
          <w:lang w:val="fr-FR"/>
        </w:rPr>
        <w:t>’</w:t>
      </w:r>
      <w:r w:rsidR="00FA5828" w:rsidRPr="00844541">
        <w:rPr>
          <w:lang w:val="fr-FR"/>
        </w:rPr>
        <w:t xml:space="preserve">ordonnance du </w:t>
      </w:r>
      <w:r w:rsidR="003C0103" w:rsidRPr="00844541">
        <w:rPr>
          <w:lang w:val="fr-FR"/>
        </w:rPr>
        <w:t>g</w:t>
      </w:r>
      <w:r w:rsidR="00FA5828" w:rsidRPr="00844541">
        <w:rPr>
          <w:lang w:val="fr-FR"/>
        </w:rPr>
        <w:t>ouvernement n</w:t>
      </w:r>
      <w:r w:rsidR="00FA5828" w:rsidRPr="00844541">
        <w:rPr>
          <w:vertAlign w:val="superscript"/>
          <w:lang w:val="fr-FR"/>
        </w:rPr>
        <w:t>o</w:t>
      </w:r>
      <w:r w:rsidR="00525D72" w:rsidRPr="00844541">
        <w:rPr>
          <w:lang w:val="fr-FR"/>
        </w:rPr>
        <w:t> </w:t>
      </w:r>
      <w:r w:rsidR="00FA5828" w:rsidRPr="00844541">
        <w:rPr>
          <w:lang w:val="fr-FR"/>
        </w:rPr>
        <w:t xml:space="preserve">94/2000 prévoyait que le régime juridique des </w:t>
      </w:r>
      <w:r w:rsidR="00896F1C" w:rsidRPr="00844541">
        <w:rPr>
          <w:lang w:val="fr-FR"/>
        </w:rPr>
        <w:t>lieux d</w:t>
      </w:r>
      <w:r w:rsidR="0026368F" w:rsidRPr="00844541">
        <w:rPr>
          <w:lang w:val="fr-FR"/>
        </w:rPr>
        <w:t>e</w:t>
      </w:r>
      <w:r w:rsidR="00896F1C" w:rsidRPr="00844541">
        <w:rPr>
          <w:lang w:val="fr-FR"/>
        </w:rPr>
        <w:t xml:space="preserve"> culte</w:t>
      </w:r>
      <w:r w:rsidR="00FA5828" w:rsidRPr="00844541">
        <w:rPr>
          <w:lang w:val="fr-FR"/>
        </w:rPr>
        <w:t xml:space="preserve"> sera</w:t>
      </w:r>
      <w:r w:rsidR="00896F1C" w:rsidRPr="00844541">
        <w:rPr>
          <w:lang w:val="fr-FR"/>
        </w:rPr>
        <w:t>it</w:t>
      </w:r>
      <w:r w:rsidR="00FA5828" w:rsidRPr="00844541">
        <w:rPr>
          <w:lang w:val="fr-FR"/>
        </w:rPr>
        <w:t xml:space="preserve"> réglementé par une loi spéciale. Or, </w:t>
      </w:r>
      <w:r w:rsidR="000D2E52" w:rsidRPr="00844541">
        <w:rPr>
          <w:lang w:val="fr-FR"/>
        </w:rPr>
        <w:t>d</w:t>
      </w:r>
      <w:r w:rsidR="00844541">
        <w:rPr>
          <w:lang w:val="fr-FR"/>
        </w:rPr>
        <w:t>’</w:t>
      </w:r>
      <w:r w:rsidR="000D2E52" w:rsidRPr="00844541">
        <w:rPr>
          <w:lang w:val="fr-FR"/>
        </w:rPr>
        <w:t xml:space="preserve">après eux, </w:t>
      </w:r>
      <w:r w:rsidR="00FA5828" w:rsidRPr="00844541">
        <w:rPr>
          <w:lang w:val="fr-FR"/>
        </w:rPr>
        <w:t>à ce jour</w:t>
      </w:r>
      <w:r w:rsidR="000D2E52" w:rsidRPr="00844541">
        <w:rPr>
          <w:lang w:val="fr-FR"/>
        </w:rPr>
        <w:t>,</w:t>
      </w:r>
      <w:r w:rsidR="00FA5828" w:rsidRPr="00844541">
        <w:rPr>
          <w:lang w:val="fr-FR"/>
        </w:rPr>
        <w:t xml:space="preserve"> aucune loi n</w:t>
      </w:r>
      <w:r w:rsidR="00844541">
        <w:rPr>
          <w:lang w:val="fr-FR"/>
        </w:rPr>
        <w:t>’</w:t>
      </w:r>
      <w:r w:rsidR="00FA5828" w:rsidRPr="00844541">
        <w:rPr>
          <w:lang w:val="fr-FR"/>
        </w:rPr>
        <w:t xml:space="preserve">a été adoptée </w:t>
      </w:r>
      <w:r w:rsidR="003C0103" w:rsidRPr="00844541">
        <w:rPr>
          <w:lang w:val="fr-FR"/>
        </w:rPr>
        <w:t xml:space="preserve">à </w:t>
      </w:r>
      <w:r w:rsidR="00FA5828" w:rsidRPr="00844541">
        <w:rPr>
          <w:lang w:val="fr-FR"/>
        </w:rPr>
        <w:t>ce sujet.</w:t>
      </w:r>
    </w:p>
    <w:p w:rsidR="00955247" w:rsidRPr="00844541" w:rsidRDefault="00955247" w:rsidP="00844541">
      <w:pPr>
        <w:pStyle w:val="ECHRHeading5"/>
      </w:pPr>
      <w:r w:rsidRPr="00844541">
        <w:t>ii.</w:t>
      </w:r>
      <w:r w:rsidR="00C37E41" w:rsidRPr="00844541">
        <w:t>  </w:t>
      </w:r>
      <w:r w:rsidRPr="00844541">
        <w:t>Le Gouvernement</w:t>
      </w:r>
    </w:p>
    <w:p w:rsidR="00B43D08"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76</w:t>
      </w:r>
      <w:r w:rsidRPr="00844541">
        <w:rPr>
          <w:noProof/>
        </w:rPr>
        <w:fldChar w:fldCharType="end"/>
      </w:r>
      <w:r w:rsidR="00723E95" w:rsidRPr="00844541">
        <w:rPr>
          <w:lang w:val="fr-FR"/>
        </w:rPr>
        <w:t>.  </w:t>
      </w:r>
      <w:r w:rsidR="00AD6E67" w:rsidRPr="00844541">
        <w:rPr>
          <w:lang w:val="fr-FR"/>
        </w:rPr>
        <w:t>L</w:t>
      </w:r>
      <w:r w:rsidR="002F7044" w:rsidRPr="00844541">
        <w:rPr>
          <w:lang w:val="fr-FR"/>
        </w:rPr>
        <w:t xml:space="preserve">e Gouvernement </w:t>
      </w:r>
      <w:r w:rsidR="00977A63" w:rsidRPr="00844541">
        <w:rPr>
          <w:lang w:val="fr-FR"/>
        </w:rPr>
        <w:t xml:space="preserve">estime que </w:t>
      </w:r>
      <w:r w:rsidR="006439F0" w:rsidRPr="00844541">
        <w:rPr>
          <w:lang w:val="fr-FR"/>
        </w:rPr>
        <w:t>l</w:t>
      </w:r>
      <w:r w:rsidR="00844541">
        <w:rPr>
          <w:lang w:val="fr-FR"/>
        </w:rPr>
        <w:t>’</w:t>
      </w:r>
      <w:r w:rsidR="006439F0" w:rsidRPr="00844541">
        <w:rPr>
          <w:lang w:val="fr-FR"/>
        </w:rPr>
        <w:t xml:space="preserve">application </w:t>
      </w:r>
      <w:r w:rsidR="00C43135" w:rsidRPr="00844541">
        <w:rPr>
          <w:lang w:val="fr-FR"/>
        </w:rPr>
        <w:t>dans le cadre de l</w:t>
      </w:r>
      <w:r w:rsidR="00844541">
        <w:rPr>
          <w:lang w:val="fr-FR"/>
        </w:rPr>
        <w:t>’</w:t>
      </w:r>
      <w:r w:rsidR="00C43135" w:rsidRPr="00844541">
        <w:rPr>
          <w:lang w:val="fr-FR"/>
        </w:rPr>
        <w:t xml:space="preserve">action en revendication </w:t>
      </w:r>
      <w:r w:rsidR="006439F0" w:rsidRPr="00844541">
        <w:rPr>
          <w:lang w:val="fr-FR"/>
        </w:rPr>
        <w:t xml:space="preserve">du </w:t>
      </w:r>
      <w:r w:rsidR="00977A63" w:rsidRPr="00844541">
        <w:rPr>
          <w:lang w:val="fr-FR"/>
        </w:rPr>
        <w:t xml:space="preserve">critère </w:t>
      </w:r>
      <w:r w:rsidR="00C43135" w:rsidRPr="00844541">
        <w:rPr>
          <w:lang w:val="fr-FR"/>
        </w:rPr>
        <w:t>de</w:t>
      </w:r>
      <w:r w:rsidR="00977A63" w:rsidRPr="00844541">
        <w:rPr>
          <w:lang w:val="fr-FR"/>
        </w:rPr>
        <w:t xml:space="preserve"> </w:t>
      </w:r>
      <w:r w:rsidR="006439F0" w:rsidRPr="00844541">
        <w:rPr>
          <w:lang w:val="fr-FR"/>
        </w:rPr>
        <w:t xml:space="preserve">la volonté </w:t>
      </w:r>
      <w:r w:rsidR="007460E4" w:rsidRPr="00844541">
        <w:rPr>
          <w:lang w:val="fr-FR"/>
        </w:rPr>
        <w:t xml:space="preserve">des fidèles </w:t>
      </w:r>
      <w:r w:rsidR="006439F0" w:rsidRPr="00844541">
        <w:rPr>
          <w:lang w:val="fr-FR"/>
        </w:rPr>
        <w:t>était prévisible</w:t>
      </w:r>
      <w:r w:rsidR="00DA2EF2" w:rsidRPr="00844541">
        <w:rPr>
          <w:lang w:val="fr-FR"/>
        </w:rPr>
        <w:t xml:space="preserve"> et que </w:t>
      </w:r>
      <w:r w:rsidR="008959BB" w:rsidRPr="00844541">
        <w:rPr>
          <w:lang w:val="fr-FR"/>
        </w:rPr>
        <w:t>la norme spéciale devait prévaloir sur la norme générale.</w:t>
      </w:r>
      <w:r w:rsidR="006439F0" w:rsidRPr="00844541">
        <w:rPr>
          <w:lang w:val="fr-FR"/>
        </w:rPr>
        <w:t xml:space="preserve"> </w:t>
      </w:r>
      <w:r w:rsidR="00C43135" w:rsidRPr="00844541">
        <w:rPr>
          <w:lang w:val="fr-FR"/>
        </w:rPr>
        <w:t xml:space="preserve">À cet égard, il indique que </w:t>
      </w:r>
      <w:r w:rsidR="00204898" w:rsidRPr="00844541">
        <w:rPr>
          <w:lang w:val="fr-FR"/>
        </w:rPr>
        <w:t>le décret-loi n</w:t>
      </w:r>
      <w:r w:rsidR="00204898" w:rsidRPr="00844541">
        <w:rPr>
          <w:vertAlign w:val="superscript"/>
          <w:lang w:val="fr-FR"/>
        </w:rPr>
        <w:t>o</w:t>
      </w:r>
      <w:r w:rsidR="00204898" w:rsidRPr="00844541">
        <w:rPr>
          <w:lang w:val="fr-FR"/>
        </w:rPr>
        <w:t xml:space="preserve"> 126/1990 énonçait que </w:t>
      </w:r>
      <w:r w:rsidR="00C43135" w:rsidRPr="00844541">
        <w:rPr>
          <w:lang w:val="fr-FR"/>
        </w:rPr>
        <w:t xml:space="preserve">ce critère </w:t>
      </w:r>
      <w:r w:rsidR="00204898" w:rsidRPr="00844541">
        <w:rPr>
          <w:lang w:val="fr-FR"/>
        </w:rPr>
        <w:t>devait être pris</w:t>
      </w:r>
      <w:r w:rsidR="00C43135" w:rsidRPr="00844541">
        <w:rPr>
          <w:lang w:val="fr-FR"/>
        </w:rPr>
        <w:t xml:space="preserve"> en </w:t>
      </w:r>
      <w:r w:rsidR="00673A1C" w:rsidRPr="00844541">
        <w:rPr>
          <w:lang w:val="fr-FR"/>
        </w:rPr>
        <w:t>considération</w:t>
      </w:r>
      <w:r w:rsidR="00C43135" w:rsidRPr="00844541">
        <w:rPr>
          <w:lang w:val="fr-FR"/>
        </w:rPr>
        <w:t xml:space="preserve"> dans la restitution des lieux de culte en même temps </w:t>
      </w:r>
      <w:r w:rsidR="00204898" w:rsidRPr="00844541">
        <w:rPr>
          <w:lang w:val="fr-FR"/>
        </w:rPr>
        <w:t>qu</w:t>
      </w:r>
      <w:r w:rsidR="00844541">
        <w:rPr>
          <w:lang w:val="fr-FR"/>
        </w:rPr>
        <w:t>’</w:t>
      </w:r>
      <w:r w:rsidR="00204898" w:rsidRPr="00844541">
        <w:rPr>
          <w:lang w:val="fr-FR"/>
        </w:rPr>
        <w:t>il reconnaissait</w:t>
      </w:r>
      <w:r w:rsidR="00C43135" w:rsidRPr="00844541">
        <w:rPr>
          <w:lang w:val="fr-FR"/>
        </w:rPr>
        <w:t xml:space="preserve"> officiell</w:t>
      </w:r>
      <w:r w:rsidR="00204898" w:rsidRPr="00844541">
        <w:rPr>
          <w:lang w:val="fr-FR"/>
        </w:rPr>
        <w:t>ement le</w:t>
      </w:r>
      <w:r w:rsidR="00C43135" w:rsidRPr="00844541">
        <w:rPr>
          <w:lang w:val="fr-FR"/>
        </w:rPr>
        <w:t xml:space="preserve"> culte gréco-catholique. </w:t>
      </w:r>
      <w:r w:rsidR="003C0103" w:rsidRPr="00844541">
        <w:rPr>
          <w:lang w:val="fr-FR"/>
        </w:rPr>
        <w:t>S</w:t>
      </w:r>
      <w:r w:rsidR="005661F6" w:rsidRPr="00844541">
        <w:rPr>
          <w:lang w:val="fr-FR"/>
        </w:rPr>
        <w:t>elon lui</w:t>
      </w:r>
      <w:r w:rsidR="003C0103" w:rsidRPr="00844541">
        <w:rPr>
          <w:lang w:val="fr-FR"/>
        </w:rPr>
        <w:t>,</w:t>
      </w:r>
      <w:r w:rsidR="00C43135" w:rsidRPr="00844541">
        <w:rPr>
          <w:lang w:val="fr-FR"/>
        </w:rPr>
        <w:t xml:space="preserve"> ce décret</w:t>
      </w:r>
      <w:r w:rsidR="00B22B6F" w:rsidRPr="00844541">
        <w:rPr>
          <w:lang w:val="fr-FR"/>
        </w:rPr>
        <w:noBreakHyphen/>
      </w:r>
      <w:r w:rsidR="00C43135" w:rsidRPr="00844541">
        <w:rPr>
          <w:lang w:val="fr-FR"/>
        </w:rPr>
        <w:t>loi permett</w:t>
      </w:r>
      <w:r w:rsidR="00E27577" w:rsidRPr="00844541">
        <w:rPr>
          <w:lang w:val="fr-FR"/>
        </w:rPr>
        <w:t>ait ainsi</w:t>
      </w:r>
      <w:r w:rsidR="004276D5" w:rsidRPr="00844541">
        <w:rPr>
          <w:lang w:val="fr-FR"/>
        </w:rPr>
        <w:t xml:space="preserve"> </w:t>
      </w:r>
      <w:r w:rsidR="00C43135" w:rsidRPr="00844541">
        <w:rPr>
          <w:lang w:val="fr-FR"/>
        </w:rPr>
        <w:t xml:space="preserve">aux anciens paroissiens </w:t>
      </w:r>
      <w:r w:rsidR="00E27577" w:rsidRPr="00844541">
        <w:rPr>
          <w:lang w:val="fr-FR"/>
        </w:rPr>
        <w:t xml:space="preserve">qui le souhaitaient </w:t>
      </w:r>
      <w:r w:rsidR="004276D5" w:rsidRPr="00844541">
        <w:rPr>
          <w:lang w:val="fr-FR"/>
        </w:rPr>
        <w:t xml:space="preserve">de </w:t>
      </w:r>
      <w:r w:rsidR="00E27577" w:rsidRPr="00844541">
        <w:rPr>
          <w:lang w:val="fr-FR"/>
        </w:rPr>
        <w:t>revenir au</w:t>
      </w:r>
      <w:r w:rsidR="004276D5" w:rsidRPr="00844541">
        <w:rPr>
          <w:lang w:val="fr-FR"/>
        </w:rPr>
        <w:t xml:space="preserve"> culte gréco</w:t>
      </w:r>
      <w:r w:rsidR="00C94EB4" w:rsidRPr="00844541">
        <w:rPr>
          <w:lang w:val="fr-FR"/>
        </w:rPr>
        <w:t>-</w:t>
      </w:r>
      <w:r w:rsidR="004276D5" w:rsidRPr="00844541">
        <w:rPr>
          <w:lang w:val="fr-FR"/>
        </w:rPr>
        <w:t xml:space="preserve">catholique </w:t>
      </w:r>
      <w:r w:rsidR="00204898" w:rsidRPr="00844541">
        <w:rPr>
          <w:lang w:val="fr-FR"/>
        </w:rPr>
        <w:t xml:space="preserve">auquel </w:t>
      </w:r>
      <w:r w:rsidR="004276D5" w:rsidRPr="00844541">
        <w:rPr>
          <w:lang w:val="fr-FR"/>
        </w:rPr>
        <w:t xml:space="preserve">ils avaient été contraints de </w:t>
      </w:r>
      <w:r w:rsidR="00204898" w:rsidRPr="00844541">
        <w:rPr>
          <w:lang w:val="fr-FR"/>
        </w:rPr>
        <w:t xml:space="preserve">renoncer </w:t>
      </w:r>
      <w:r w:rsidR="007460E4" w:rsidRPr="00844541">
        <w:rPr>
          <w:lang w:val="fr-FR"/>
        </w:rPr>
        <w:t xml:space="preserve">en 1948 </w:t>
      </w:r>
      <w:r w:rsidR="004276D5" w:rsidRPr="00844541">
        <w:rPr>
          <w:lang w:val="fr-FR"/>
        </w:rPr>
        <w:t>et</w:t>
      </w:r>
      <w:r w:rsidR="00C43135" w:rsidRPr="00844541">
        <w:rPr>
          <w:lang w:val="fr-FR"/>
        </w:rPr>
        <w:t xml:space="preserve"> d</w:t>
      </w:r>
      <w:r w:rsidR="00204898" w:rsidRPr="00844541">
        <w:rPr>
          <w:lang w:val="fr-FR"/>
        </w:rPr>
        <w:t>e trouver</w:t>
      </w:r>
      <w:r w:rsidR="004276D5" w:rsidRPr="00844541">
        <w:rPr>
          <w:lang w:val="fr-FR"/>
        </w:rPr>
        <w:t xml:space="preserve"> une solution pour la propriété </w:t>
      </w:r>
      <w:r w:rsidR="001566D1" w:rsidRPr="00844541">
        <w:rPr>
          <w:lang w:val="fr-FR"/>
        </w:rPr>
        <w:t>d</w:t>
      </w:r>
      <w:r w:rsidR="004276D5" w:rsidRPr="00844541">
        <w:rPr>
          <w:lang w:val="fr-FR"/>
        </w:rPr>
        <w:t>u lieu de culte</w:t>
      </w:r>
      <w:r w:rsidR="00C43135" w:rsidRPr="00844541">
        <w:rPr>
          <w:lang w:val="fr-FR"/>
        </w:rPr>
        <w:t xml:space="preserve"> dans la perspective de </w:t>
      </w:r>
      <w:r w:rsidR="00204898" w:rsidRPr="00844541">
        <w:rPr>
          <w:lang w:val="fr-FR"/>
        </w:rPr>
        <w:t>la</w:t>
      </w:r>
      <w:r w:rsidR="00C43135" w:rsidRPr="00844541">
        <w:rPr>
          <w:lang w:val="fr-FR"/>
        </w:rPr>
        <w:t xml:space="preserve"> restructuration de la communauté locale.</w:t>
      </w:r>
    </w:p>
    <w:p w:rsidR="00C838DB" w:rsidRPr="00844541" w:rsidRDefault="00D01A28" w:rsidP="00844541">
      <w:pPr>
        <w:pStyle w:val="ECHRPara"/>
        <w:rPr>
          <w:lang w:val="fr-FR"/>
        </w:rPr>
      </w:pPr>
      <w:r w:rsidRPr="00844541">
        <w:lastRenderedPageBreak/>
        <w:fldChar w:fldCharType="begin"/>
      </w:r>
      <w:r w:rsidRPr="00844541">
        <w:rPr>
          <w:lang w:val="fr-FR"/>
        </w:rPr>
        <w:instrText xml:space="preserve"> SEQ level0 \*arabic </w:instrText>
      </w:r>
      <w:r w:rsidRPr="00844541">
        <w:fldChar w:fldCharType="separate"/>
      </w:r>
      <w:r w:rsidR="00767866">
        <w:rPr>
          <w:noProof/>
          <w:lang w:val="fr-FR"/>
        </w:rPr>
        <w:t>77</w:t>
      </w:r>
      <w:r w:rsidRPr="00844541">
        <w:rPr>
          <w:noProof/>
        </w:rPr>
        <w:fldChar w:fldCharType="end"/>
      </w:r>
      <w:r w:rsidR="00723E95" w:rsidRPr="00844541">
        <w:rPr>
          <w:lang w:val="fr-FR"/>
        </w:rPr>
        <w:t>.  </w:t>
      </w:r>
      <w:r w:rsidR="005661F6" w:rsidRPr="00844541">
        <w:rPr>
          <w:lang w:val="fr-FR"/>
        </w:rPr>
        <w:t>Disant se</w:t>
      </w:r>
      <w:r w:rsidR="006B256C" w:rsidRPr="00844541">
        <w:rPr>
          <w:lang w:val="fr-FR"/>
        </w:rPr>
        <w:t xml:space="preserve"> référ</w:t>
      </w:r>
      <w:r w:rsidR="005661F6" w:rsidRPr="00844541">
        <w:rPr>
          <w:lang w:val="fr-FR"/>
        </w:rPr>
        <w:t>er</w:t>
      </w:r>
      <w:r w:rsidR="006B256C" w:rsidRPr="00844541">
        <w:rPr>
          <w:lang w:val="fr-FR"/>
        </w:rPr>
        <w:t xml:space="preserve"> aux décisions rendues par la Cour constitutionnelle (paragraphes </w:t>
      </w:r>
      <w:r w:rsidR="00E66F7A" w:rsidRPr="00844541">
        <w:fldChar w:fldCharType="begin"/>
      </w:r>
      <w:r w:rsidR="00E66F7A" w:rsidRPr="00844541">
        <w:rPr>
          <w:lang w:val="fr-FR"/>
        </w:rPr>
        <w:instrText xml:space="preserve"> REF P54 \h </w:instrText>
      </w:r>
      <w:r w:rsidR="003428ED" w:rsidRPr="00844541">
        <w:rPr>
          <w:lang w:val="fr-FR"/>
        </w:rPr>
        <w:instrText xml:space="preserve"> \* MERGEFORMAT </w:instrText>
      </w:r>
      <w:r w:rsidR="00E66F7A" w:rsidRPr="00844541">
        <w:fldChar w:fldCharType="separate"/>
      </w:r>
      <w:r w:rsidR="00767866">
        <w:rPr>
          <w:noProof/>
          <w:lang w:val="fr-FR"/>
        </w:rPr>
        <w:t>51</w:t>
      </w:r>
      <w:r w:rsidR="00E66F7A" w:rsidRPr="00844541">
        <w:fldChar w:fldCharType="end"/>
      </w:r>
      <w:r w:rsidR="00E66F7A" w:rsidRPr="00844541">
        <w:rPr>
          <w:lang w:val="fr-FR"/>
        </w:rPr>
        <w:t xml:space="preserve"> </w:t>
      </w:r>
      <w:r w:rsidR="007460E4" w:rsidRPr="00844541">
        <w:rPr>
          <w:lang w:val="fr-FR"/>
        </w:rPr>
        <w:t>et</w:t>
      </w:r>
      <w:r w:rsidR="00E66F7A" w:rsidRPr="00844541">
        <w:rPr>
          <w:lang w:val="fr-FR"/>
        </w:rPr>
        <w:t xml:space="preserve"> 5</w:t>
      </w:r>
      <w:r w:rsidR="007460E4" w:rsidRPr="00844541">
        <w:rPr>
          <w:lang w:val="fr-FR"/>
        </w:rPr>
        <w:t>1</w:t>
      </w:r>
      <w:r w:rsidR="00E66F7A" w:rsidRPr="00844541">
        <w:rPr>
          <w:lang w:val="fr-FR"/>
        </w:rPr>
        <w:t xml:space="preserve"> </w:t>
      </w:r>
      <w:r w:rsidR="006B256C" w:rsidRPr="00844541">
        <w:rPr>
          <w:lang w:val="fr-FR"/>
        </w:rPr>
        <w:t xml:space="preserve">ci-dessus), </w:t>
      </w:r>
      <w:r w:rsidR="00D47292" w:rsidRPr="00844541">
        <w:rPr>
          <w:lang w:val="fr-FR"/>
        </w:rPr>
        <w:t>le Gouvernement</w:t>
      </w:r>
      <w:r w:rsidR="00C838DB" w:rsidRPr="00844541">
        <w:rPr>
          <w:lang w:val="fr-FR"/>
        </w:rPr>
        <w:t xml:space="preserve"> </w:t>
      </w:r>
      <w:r w:rsidR="00016755" w:rsidRPr="00844541">
        <w:rPr>
          <w:lang w:val="fr-FR"/>
        </w:rPr>
        <w:t>indique</w:t>
      </w:r>
      <w:r w:rsidR="00C838DB" w:rsidRPr="00844541">
        <w:rPr>
          <w:lang w:val="fr-FR"/>
        </w:rPr>
        <w:t xml:space="preserve"> que ce critère a été jugé conform</w:t>
      </w:r>
      <w:r w:rsidR="007460E4" w:rsidRPr="00844541">
        <w:rPr>
          <w:lang w:val="fr-FR"/>
        </w:rPr>
        <w:t>e</w:t>
      </w:r>
      <w:r w:rsidR="00C838DB" w:rsidRPr="00844541">
        <w:rPr>
          <w:lang w:val="fr-FR"/>
        </w:rPr>
        <w:t xml:space="preserve"> à la Constitution et en accord avec la réalité sociale.</w:t>
      </w:r>
      <w:r w:rsidR="00BF61FF" w:rsidRPr="00844541">
        <w:rPr>
          <w:lang w:val="fr-FR"/>
        </w:rPr>
        <w:t xml:space="preserve"> </w:t>
      </w:r>
      <w:r w:rsidR="00D47292" w:rsidRPr="00844541">
        <w:rPr>
          <w:lang w:val="fr-FR"/>
        </w:rPr>
        <w:t xml:space="preserve">Il </w:t>
      </w:r>
      <w:r w:rsidR="00016755" w:rsidRPr="00844541">
        <w:rPr>
          <w:lang w:val="fr-FR"/>
        </w:rPr>
        <w:t xml:space="preserve">expose </w:t>
      </w:r>
      <w:r w:rsidR="00D47292" w:rsidRPr="00844541">
        <w:rPr>
          <w:lang w:val="fr-FR"/>
        </w:rPr>
        <w:t>que</w:t>
      </w:r>
      <w:r w:rsidR="00BF61FF" w:rsidRPr="00844541">
        <w:rPr>
          <w:lang w:val="fr-FR"/>
        </w:rPr>
        <w:t xml:space="preserve"> les amendements apportés par la loi n</w:t>
      </w:r>
      <w:r w:rsidR="00BF61FF" w:rsidRPr="00844541">
        <w:rPr>
          <w:vertAlign w:val="superscript"/>
          <w:lang w:val="fr-FR"/>
        </w:rPr>
        <w:t>o</w:t>
      </w:r>
      <w:r w:rsidR="007460E4" w:rsidRPr="00844541">
        <w:rPr>
          <w:lang w:val="fr-FR"/>
        </w:rPr>
        <w:t> </w:t>
      </w:r>
      <w:r w:rsidR="00BF61FF" w:rsidRPr="00844541">
        <w:rPr>
          <w:lang w:val="fr-FR"/>
        </w:rPr>
        <w:t>18</w:t>
      </w:r>
      <w:r w:rsidR="00D47292" w:rsidRPr="00844541">
        <w:rPr>
          <w:lang w:val="fr-FR"/>
        </w:rPr>
        <w:t>2</w:t>
      </w:r>
      <w:r w:rsidR="00BF61FF" w:rsidRPr="00844541">
        <w:rPr>
          <w:lang w:val="fr-FR"/>
        </w:rPr>
        <w:t xml:space="preserve">/2005 </w:t>
      </w:r>
      <w:r w:rsidR="004F6804" w:rsidRPr="00844541">
        <w:rPr>
          <w:lang w:val="fr-FR"/>
        </w:rPr>
        <w:t xml:space="preserve">portaient sur </w:t>
      </w:r>
      <w:r w:rsidR="00BF61FF" w:rsidRPr="00844541">
        <w:rPr>
          <w:lang w:val="fr-FR"/>
        </w:rPr>
        <w:t>la reconnaissance de l</w:t>
      </w:r>
      <w:r w:rsidR="00844541">
        <w:rPr>
          <w:lang w:val="fr-FR"/>
        </w:rPr>
        <w:t>’</w:t>
      </w:r>
      <w:r w:rsidR="00BF61FF" w:rsidRPr="00844541">
        <w:rPr>
          <w:lang w:val="fr-FR"/>
        </w:rPr>
        <w:t xml:space="preserve">accès à la justice sans </w:t>
      </w:r>
      <w:r w:rsidR="004F6804" w:rsidRPr="00844541">
        <w:rPr>
          <w:lang w:val="fr-FR"/>
        </w:rPr>
        <w:t>introduire de</w:t>
      </w:r>
      <w:r w:rsidR="00BF61FF" w:rsidRPr="00844541">
        <w:rPr>
          <w:lang w:val="fr-FR"/>
        </w:rPr>
        <w:t xml:space="preserve"> perspective différente </w:t>
      </w:r>
      <w:r w:rsidR="00E27577" w:rsidRPr="00844541">
        <w:rPr>
          <w:lang w:val="fr-FR"/>
        </w:rPr>
        <w:t>quant aux</w:t>
      </w:r>
      <w:r w:rsidR="00BF61FF" w:rsidRPr="00844541">
        <w:rPr>
          <w:lang w:val="fr-FR"/>
        </w:rPr>
        <w:t xml:space="preserve"> relations patrimoniales entre les cultes.</w:t>
      </w:r>
      <w:r w:rsidR="008D40BC" w:rsidRPr="00844541">
        <w:rPr>
          <w:lang w:val="fr-FR"/>
        </w:rPr>
        <w:t xml:space="preserve"> Il ajoute qu</w:t>
      </w:r>
      <w:r w:rsidR="00844541">
        <w:rPr>
          <w:lang w:val="fr-FR"/>
        </w:rPr>
        <w:t>’</w:t>
      </w:r>
      <w:r w:rsidR="008D40BC" w:rsidRPr="00844541">
        <w:rPr>
          <w:lang w:val="fr-FR"/>
        </w:rPr>
        <w:t xml:space="preserve">il ressort de la pratique des </w:t>
      </w:r>
      <w:r w:rsidR="007A21EF" w:rsidRPr="00844541">
        <w:rPr>
          <w:lang w:val="fr-FR"/>
        </w:rPr>
        <w:t>juridictions internes</w:t>
      </w:r>
      <w:r w:rsidR="008D40BC" w:rsidRPr="00844541">
        <w:rPr>
          <w:lang w:val="fr-FR"/>
        </w:rPr>
        <w:t xml:space="preserve"> que le critère de la volonté des </w:t>
      </w:r>
      <w:r w:rsidR="007460E4" w:rsidRPr="00844541">
        <w:rPr>
          <w:lang w:val="fr-FR"/>
        </w:rPr>
        <w:t>fidèles</w:t>
      </w:r>
      <w:r w:rsidR="008D40BC" w:rsidRPr="00844541">
        <w:rPr>
          <w:lang w:val="fr-FR"/>
        </w:rPr>
        <w:t xml:space="preserve"> était pris en compte dans la décision de restitution d</w:t>
      </w:r>
      <w:r w:rsidR="00844541">
        <w:rPr>
          <w:lang w:val="fr-FR"/>
        </w:rPr>
        <w:t>’</w:t>
      </w:r>
      <w:r w:rsidR="008D40BC" w:rsidRPr="00844541">
        <w:rPr>
          <w:lang w:val="fr-FR"/>
        </w:rPr>
        <w:t>un lieu de culte.</w:t>
      </w:r>
      <w:r w:rsidR="000951AB" w:rsidRPr="00844541">
        <w:rPr>
          <w:lang w:val="fr-FR"/>
        </w:rPr>
        <w:t xml:space="preserve"> Selon l</w:t>
      </w:r>
      <w:r w:rsidR="00016755" w:rsidRPr="00844541">
        <w:rPr>
          <w:lang w:val="fr-FR"/>
        </w:rPr>
        <w:t>e Gouvernement</w:t>
      </w:r>
      <w:r w:rsidR="000951AB" w:rsidRPr="00844541">
        <w:rPr>
          <w:lang w:val="fr-FR"/>
        </w:rPr>
        <w:t>, l</w:t>
      </w:r>
      <w:r w:rsidR="00844541">
        <w:rPr>
          <w:lang w:val="fr-FR"/>
        </w:rPr>
        <w:t>’</w:t>
      </w:r>
      <w:r w:rsidR="000951AB" w:rsidRPr="00844541">
        <w:rPr>
          <w:lang w:val="fr-FR"/>
        </w:rPr>
        <w:t xml:space="preserve">application de ce critère uniquement dans la procédure préalable et son </w:t>
      </w:r>
      <w:r w:rsidR="00D47292" w:rsidRPr="00844541">
        <w:rPr>
          <w:lang w:val="fr-FR"/>
        </w:rPr>
        <w:t>ignorance</w:t>
      </w:r>
      <w:r w:rsidR="000951AB" w:rsidRPr="00844541">
        <w:rPr>
          <w:lang w:val="fr-FR"/>
        </w:rPr>
        <w:t xml:space="preserve"> dans la procédure judiciaire </w:t>
      </w:r>
      <w:r w:rsidR="007460E4" w:rsidRPr="00844541">
        <w:rPr>
          <w:lang w:val="fr-FR"/>
        </w:rPr>
        <w:t>aboutirai</w:t>
      </w:r>
      <w:r w:rsidR="00E27577" w:rsidRPr="00844541">
        <w:rPr>
          <w:lang w:val="fr-FR"/>
        </w:rPr>
        <w:t>en</w:t>
      </w:r>
      <w:r w:rsidR="007460E4" w:rsidRPr="00844541">
        <w:rPr>
          <w:lang w:val="fr-FR"/>
        </w:rPr>
        <w:t>t à</w:t>
      </w:r>
      <w:r w:rsidR="000951AB" w:rsidRPr="00844541">
        <w:rPr>
          <w:lang w:val="fr-FR"/>
        </w:rPr>
        <w:t xml:space="preserve"> un anéantissement de la volonté de la communauté qui utilise </w:t>
      </w:r>
      <w:r w:rsidR="00016755" w:rsidRPr="00844541">
        <w:rPr>
          <w:lang w:val="fr-FR"/>
        </w:rPr>
        <w:t xml:space="preserve">le lieu de culte </w:t>
      </w:r>
      <w:r w:rsidR="000951AB" w:rsidRPr="00844541">
        <w:rPr>
          <w:lang w:val="fr-FR"/>
        </w:rPr>
        <w:t xml:space="preserve">et </w:t>
      </w:r>
      <w:r w:rsidR="00D47292" w:rsidRPr="00844541">
        <w:rPr>
          <w:lang w:val="fr-FR"/>
        </w:rPr>
        <w:t xml:space="preserve">qui </w:t>
      </w:r>
      <w:r w:rsidR="000951AB" w:rsidRPr="00844541">
        <w:rPr>
          <w:lang w:val="fr-FR"/>
        </w:rPr>
        <w:t xml:space="preserve">a contribué à </w:t>
      </w:r>
      <w:r w:rsidR="00016755" w:rsidRPr="00844541">
        <w:rPr>
          <w:lang w:val="fr-FR"/>
        </w:rPr>
        <w:t>s</w:t>
      </w:r>
      <w:r w:rsidR="000951AB" w:rsidRPr="00844541">
        <w:rPr>
          <w:lang w:val="fr-FR"/>
        </w:rPr>
        <w:t>a construction</w:t>
      </w:r>
      <w:r w:rsidR="00E27577" w:rsidRPr="00844541">
        <w:rPr>
          <w:lang w:val="fr-FR"/>
        </w:rPr>
        <w:t>, et ce d</w:t>
      </w:r>
      <w:r w:rsidR="00844541">
        <w:rPr>
          <w:lang w:val="fr-FR"/>
        </w:rPr>
        <w:t>’</w:t>
      </w:r>
      <w:r w:rsidR="00E27577" w:rsidRPr="00844541">
        <w:rPr>
          <w:lang w:val="fr-FR"/>
        </w:rPr>
        <w:t>autant plus que la procédure préalable ne serait pas obligatoire</w:t>
      </w:r>
      <w:r w:rsidR="000951AB" w:rsidRPr="00844541">
        <w:rPr>
          <w:lang w:val="fr-FR"/>
        </w:rPr>
        <w:t>.</w:t>
      </w:r>
    </w:p>
    <w:p w:rsidR="009766C0"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78</w:t>
      </w:r>
      <w:r w:rsidRPr="00844541">
        <w:rPr>
          <w:noProof/>
        </w:rPr>
        <w:fldChar w:fldCharType="end"/>
      </w:r>
      <w:r w:rsidR="00723E95" w:rsidRPr="00844541">
        <w:rPr>
          <w:lang w:val="fr-FR"/>
        </w:rPr>
        <w:t>.  </w:t>
      </w:r>
      <w:r w:rsidR="00CB5659" w:rsidRPr="00844541">
        <w:rPr>
          <w:lang w:val="fr-FR"/>
        </w:rPr>
        <w:t>Le Gouvernement indique en</w:t>
      </w:r>
      <w:r w:rsidR="007460E4" w:rsidRPr="00844541">
        <w:rPr>
          <w:lang w:val="fr-FR"/>
        </w:rPr>
        <w:t>fin</w:t>
      </w:r>
      <w:r w:rsidR="00CB5659" w:rsidRPr="00844541">
        <w:rPr>
          <w:lang w:val="fr-FR"/>
        </w:rPr>
        <w:t xml:space="preserve"> que les </w:t>
      </w:r>
      <w:r w:rsidR="007A21EF" w:rsidRPr="00844541">
        <w:rPr>
          <w:lang w:val="fr-FR"/>
        </w:rPr>
        <w:t>juridictions</w:t>
      </w:r>
      <w:r w:rsidR="00CB5659" w:rsidRPr="00844541">
        <w:rPr>
          <w:lang w:val="fr-FR"/>
        </w:rPr>
        <w:t xml:space="preserve"> n</w:t>
      </w:r>
      <w:r w:rsidR="00844541">
        <w:rPr>
          <w:lang w:val="fr-FR"/>
        </w:rPr>
        <w:t>’</w:t>
      </w:r>
      <w:r w:rsidR="00CB5659" w:rsidRPr="00844541">
        <w:rPr>
          <w:lang w:val="fr-FR"/>
        </w:rPr>
        <w:t xml:space="preserve">appliquent pas le critère concernant la volonté des </w:t>
      </w:r>
      <w:r w:rsidR="00315FB2" w:rsidRPr="00844541">
        <w:rPr>
          <w:lang w:val="fr-FR"/>
        </w:rPr>
        <w:t xml:space="preserve">fidèles </w:t>
      </w:r>
      <w:r w:rsidR="002D2454" w:rsidRPr="00844541">
        <w:rPr>
          <w:lang w:val="fr-FR"/>
        </w:rPr>
        <w:t>uniquement en fonction du</w:t>
      </w:r>
      <w:r w:rsidR="00CB5659" w:rsidRPr="00844541">
        <w:rPr>
          <w:lang w:val="fr-FR"/>
        </w:rPr>
        <w:t xml:space="preserve"> nombre des </w:t>
      </w:r>
      <w:r w:rsidR="00315FB2" w:rsidRPr="00844541">
        <w:rPr>
          <w:lang w:val="fr-FR"/>
        </w:rPr>
        <w:t>fidèles d</w:t>
      </w:r>
      <w:r w:rsidR="00844541">
        <w:rPr>
          <w:lang w:val="fr-FR"/>
        </w:rPr>
        <w:t>’</w:t>
      </w:r>
      <w:r w:rsidR="00CB5659" w:rsidRPr="00844541">
        <w:rPr>
          <w:lang w:val="fr-FR"/>
        </w:rPr>
        <w:t>une communauté</w:t>
      </w:r>
      <w:r w:rsidR="00016755" w:rsidRPr="00844541">
        <w:rPr>
          <w:lang w:val="fr-FR"/>
        </w:rPr>
        <w:t>, mais qu</w:t>
      </w:r>
      <w:r w:rsidR="00844541">
        <w:rPr>
          <w:lang w:val="fr-FR"/>
        </w:rPr>
        <w:t>’</w:t>
      </w:r>
      <w:r w:rsidR="00016755" w:rsidRPr="00844541">
        <w:rPr>
          <w:lang w:val="fr-FR"/>
        </w:rPr>
        <w:t xml:space="preserve">elles sont </w:t>
      </w:r>
      <w:r w:rsidR="009766C0" w:rsidRPr="00844541">
        <w:rPr>
          <w:lang w:val="fr-FR"/>
        </w:rPr>
        <w:t>appelé</w:t>
      </w:r>
      <w:r w:rsidR="00016755" w:rsidRPr="00844541">
        <w:rPr>
          <w:lang w:val="fr-FR"/>
        </w:rPr>
        <w:t>e</w:t>
      </w:r>
      <w:r w:rsidR="009766C0" w:rsidRPr="00844541">
        <w:rPr>
          <w:lang w:val="fr-FR"/>
        </w:rPr>
        <w:t xml:space="preserve">s à </w:t>
      </w:r>
      <w:r w:rsidR="00A545F0" w:rsidRPr="00844541">
        <w:rPr>
          <w:lang w:val="fr-FR"/>
        </w:rPr>
        <w:t>établir</w:t>
      </w:r>
      <w:r w:rsidR="009766C0" w:rsidRPr="00844541">
        <w:rPr>
          <w:lang w:val="fr-FR"/>
        </w:rPr>
        <w:t xml:space="preserve"> l</w:t>
      </w:r>
      <w:r w:rsidR="00315FB2" w:rsidRPr="00844541">
        <w:rPr>
          <w:lang w:val="fr-FR"/>
        </w:rPr>
        <w:t>eur</w:t>
      </w:r>
      <w:r w:rsidR="009766C0" w:rsidRPr="00844541">
        <w:rPr>
          <w:lang w:val="fr-FR"/>
        </w:rPr>
        <w:t xml:space="preserve"> volonté </w:t>
      </w:r>
      <w:r w:rsidR="002D2454" w:rsidRPr="00844541">
        <w:rPr>
          <w:lang w:val="fr-FR"/>
        </w:rPr>
        <w:t xml:space="preserve">après avoir examiné </w:t>
      </w:r>
      <w:r w:rsidR="009766C0" w:rsidRPr="00844541">
        <w:rPr>
          <w:lang w:val="fr-FR"/>
        </w:rPr>
        <w:t>une mult</w:t>
      </w:r>
      <w:r w:rsidR="00A501F5" w:rsidRPr="00844541">
        <w:rPr>
          <w:lang w:val="fr-FR"/>
        </w:rPr>
        <w:t>itu</w:t>
      </w:r>
      <w:r w:rsidR="009766C0" w:rsidRPr="00844541">
        <w:rPr>
          <w:lang w:val="fr-FR"/>
        </w:rPr>
        <w:t>de de facteurs sociaux, historiques et juridiques.</w:t>
      </w:r>
    </w:p>
    <w:p w:rsidR="00E21F73" w:rsidRPr="00844541" w:rsidRDefault="00070AA2" w:rsidP="00844541">
      <w:pPr>
        <w:pStyle w:val="ECHRHeading4"/>
      </w:pPr>
      <w:r w:rsidRPr="00844541">
        <w:t>b</w:t>
      </w:r>
      <w:r w:rsidR="00F1107A" w:rsidRPr="00844541">
        <w:t>)</w:t>
      </w:r>
      <w:r w:rsidR="00C37E41" w:rsidRPr="00844541">
        <w:t>  </w:t>
      </w:r>
      <w:r w:rsidRPr="00844541">
        <w:t>L</w:t>
      </w:r>
      <w:r w:rsidR="00844541">
        <w:t>’</w:t>
      </w:r>
      <w:r w:rsidRPr="00844541">
        <w:t>a</w:t>
      </w:r>
      <w:r w:rsidR="00E21F73" w:rsidRPr="00844541">
        <w:t>ppréciation de la Cour</w:t>
      </w:r>
    </w:p>
    <w:p w:rsidR="00F4753A" w:rsidRPr="00844541" w:rsidRDefault="00F4753A" w:rsidP="00844541">
      <w:pPr>
        <w:pStyle w:val="ECHRHeading5"/>
      </w:pPr>
      <w:r w:rsidRPr="00844541">
        <w:t>i.</w:t>
      </w:r>
      <w:r w:rsidR="00C37E41" w:rsidRPr="00844541">
        <w:t>  </w:t>
      </w:r>
      <w:r w:rsidR="00E368CE" w:rsidRPr="00844541">
        <w:t>Les p</w:t>
      </w:r>
      <w:r w:rsidRPr="00844541">
        <w:t>rincipes applicables</w:t>
      </w:r>
    </w:p>
    <w:p w:rsidR="00E543EE" w:rsidRPr="00844541" w:rsidRDefault="00E543EE" w:rsidP="00844541">
      <w:pPr>
        <w:pStyle w:val="ECHRPara"/>
        <w:rPr>
          <w:szCs w:val="24"/>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79</w:t>
      </w:r>
      <w:r w:rsidRPr="00844541">
        <w:fldChar w:fldCharType="end"/>
      </w:r>
      <w:r w:rsidRPr="00844541">
        <w:rPr>
          <w:lang w:val="fr-FR"/>
        </w:rPr>
        <w:t>.  </w:t>
      </w:r>
      <w:r w:rsidR="007460E4" w:rsidRPr="00844541">
        <w:rPr>
          <w:lang w:val="fr-FR"/>
        </w:rPr>
        <w:t xml:space="preserve">Comme </w:t>
      </w:r>
      <w:r w:rsidR="006D1969" w:rsidRPr="00844541">
        <w:rPr>
          <w:lang w:val="fr-FR"/>
        </w:rPr>
        <w:t>la Cour</w:t>
      </w:r>
      <w:r w:rsidR="007460E4" w:rsidRPr="00844541">
        <w:rPr>
          <w:lang w:val="fr-FR"/>
        </w:rPr>
        <w:t xml:space="preserve"> l</w:t>
      </w:r>
      <w:r w:rsidR="00844541">
        <w:rPr>
          <w:lang w:val="fr-FR"/>
        </w:rPr>
        <w:t>’</w:t>
      </w:r>
      <w:r w:rsidR="007460E4" w:rsidRPr="00844541">
        <w:rPr>
          <w:lang w:val="fr-FR"/>
        </w:rPr>
        <w:t>a indiqué plus haut, c</w:t>
      </w:r>
      <w:r w:rsidR="00844541">
        <w:rPr>
          <w:lang w:val="fr-FR"/>
        </w:rPr>
        <w:t>’</w:t>
      </w:r>
      <w:r w:rsidR="007460E4" w:rsidRPr="00844541">
        <w:rPr>
          <w:lang w:val="fr-FR"/>
        </w:rPr>
        <w:t xml:space="preserve">est </w:t>
      </w:r>
      <w:r w:rsidRPr="00844541">
        <w:rPr>
          <w:lang w:val="fr-FR"/>
        </w:rPr>
        <w:t>au premier chef aux autorités nationales, notamment aux cours et tribunaux, qu</w:t>
      </w:r>
      <w:r w:rsidR="00844541">
        <w:rPr>
          <w:lang w:val="fr-FR"/>
        </w:rPr>
        <w:t>’</w:t>
      </w:r>
      <w:r w:rsidRPr="00844541">
        <w:rPr>
          <w:lang w:val="fr-FR"/>
        </w:rPr>
        <w:t>il incombe d</w:t>
      </w:r>
      <w:r w:rsidR="00844541">
        <w:rPr>
          <w:lang w:val="fr-FR"/>
        </w:rPr>
        <w:t>’</w:t>
      </w:r>
      <w:r w:rsidRPr="00844541">
        <w:rPr>
          <w:lang w:val="fr-FR"/>
        </w:rPr>
        <w:t>interpréter la législation interne</w:t>
      </w:r>
      <w:r w:rsidR="0074780A" w:rsidRPr="00844541">
        <w:rPr>
          <w:lang w:val="fr-FR"/>
        </w:rPr>
        <w:t>.</w:t>
      </w:r>
      <w:r w:rsidRPr="00844541">
        <w:rPr>
          <w:lang w:val="fr-FR"/>
        </w:rPr>
        <w:t xml:space="preserve"> Dès lors, sauf dans les cas d</w:t>
      </w:r>
      <w:r w:rsidR="00844541">
        <w:rPr>
          <w:lang w:val="fr-FR"/>
        </w:rPr>
        <w:t>’</w:t>
      </w:r>
      <w:r w:rsidRPr="00844541">
        <w:rPr>
          <w:lang w:val="fr-FR"/>
        </w:rPr>
        <w:t>un arbitraire évident, elle n</w:t>
      </w:r>
      <w:r w:rsidR="00844541">
        <w:rPr>
          <w:lang w:val="fr-FR"/>
        </w:rPr>
        <w:t>’</w:t>
      </w:r>
      <w:r w:rsidRPr="00844541">
        <w:rPr>
          <w:lang w:val="fr-FR"/>
        </w:rPr>
        <w:t>est pas compétente pour mettre en cause l</w:t>
      </w:r>
      <w:r w:rsidR="00844541">
        <w:rPr>
          <w:lang w:val="fr-FR"/>
        </w:rPr>
        <w:t>’</w:t>
      </w:r>
      <w:r w:rsidRPr="00844541">
        <w:rPr>
          <w:lang w:val="fr-FR"/>
        </w:rPr>
        <w:t xml:space="preserve">interprétation de la législation interne par ces juridictions (voir, par exemple, </w:t>
      </w:r>
      <w:r w:rsidR="00B22B6F" w:rsidRPr="00844541">
        <w:rPr>
          <w:i/>
          <w:lang w:val="fr-FR"/>
        </w:rPr>
        <w:t>Ādamsons </w:t>
      </w:r>
      <w:r w:rsidRPr="00844541">
        <w:rPr>
          <w:i/>
          <w:lang w:val="fr-FR"/>
        </w:rPr>
        <w:t>c</w:t>
      </w:r>
      <w:r w:rsidR="00016755" w:rsidRPr="00844541">
        <w:rPr>
          <w:i/>
          <w:lang w:val="fr-FR"/>
        </w:rPr>
        <w:t>. </w:t>
      </w:r>
      <w:r w:rsidRPr="00844541">
        <w:rPr>
          <w:i/>
          <w:lang w:val="fr-FR"/>
        </w:rPr>
        <w:t>Lettonie</w:t>
      </w:r>
      <w:r w:rsidRPr="00844541">
        <w:rPr>
          <w:lang w:val="fr-FR"/>
        </w:rPr>
        <w:t>, n</w:t>
      </w:r>
      <w:r w:rsidRPr="00844541">
        <w:rPr>
          <w:vertAlign w:val="superscript"/>
          <w:lang w:val="fr-FR"/>
        </w:rPr>
        <w:t>o</w:t>
      </w:r>
      <w:r w:rsidRPr="00844541">
        <w:rPr>
          <w:lang w:val="fr-FR"/>
        </w:rPr>
        <w:t xml:space="preserve"> 3669/03, § 118, 24 juin 2008). De même, il ne lui appartient pas, en principe, de comparer les diverses décisions rendues, même dans des litiges de prime abord voisins ou connexes, par des tribunaux dont l</w:t>
      </w:r>
      <w:r w:rsidR="00844541">
        <w:rPr>
          <w:lang w:val="fr-FR"/>
        </w:rPr>
        <w:t>’</w:t>
      </w:r>
      <w:r w:rsidRPr="00844541">
        <w:rPr>
          <w:lang w:val="fr-FR"/>
        </w:rPr>
        <w:t>indépendance s</w:t>
      </w:r>
      <w:r w:rsidR="00844541">
        <w:rPr>
          <w:lang w:val="fr-FR"/>
        </w:rPr>
        <w:t>’</w:t>
      </w:r>
      <w:r w:rsidRPr="00844541">
        <w:rPr>
          <w:lang w:val="fr-FR"/>
        </w:rPr>
        <w:t>impose à elle (</w:t>
      </w:r>
      <w:r w:rsidR="00B22B6F" w:rsidRPr="00844541">
        <w:rPr>
          <w:i/>
          <w:szCs w:val="24"/>
          <w:lang w:val="fr-FR"/>
        </w:rPr>
        <w:t>Gregório de Andrade c. </w:t>
      </w:r>
      <w:r w:rsidRPr="00844541">
        <w:rPr>
          <w:i/>
          <w:szCs w:val="24"/>
          <w:lang w:val="fr-FR"/>
        </w:rPr>
        <w:t>Portugal</w:t>
      </w:r>
      <w:r w:rsidRPr="00844541">
        <w:rPr>
          <w:szCs w:val="24"/>
          <w:lang w:val="fr-FR"/>
        </w:rPr>
        <w:t xml:space="preserve">, </w:t>
      </w:r>
      <w:r w:rsidR="00016755" w:rsidRPr="00844541">
        <w:rPr>
          <w:szCs w:val="24"/>
          <w:lang w:val="fr-FR"/>
        </w:rPr>
        <w:t>n</w:t>
      </w:r>
      <w:r w:rsidR="00016755" w:rsidRPr="00844541">
        <w:rPr>
          <w:szCs w:val="24"/>
          <w:vertAlign w:val="superscript"/>
          <w:lang w:val="fr-FR"/>
        </w:rPr>
        <w:t>o</w:t>
      </w:r>
      <w:r w:rsidR="00016755" w:rsidRPr="00844541">
        <w:rPr>
          <w:szCs w:val="24"/>
          <w:lang w:val="fr-FR"/>
        </w:rPr>
        <w:t> </w:t>
      </w:r>
      <w:r w:rsidRPr="00844541">
        <w:rPr>
          <w:szCs w:val="24"/>
          <w:lang w:val="fr-FR"/>
        </w:rPr>
        <w:t xml:space="preserve">41537/02, § 36, 14 novembre 2006, et </w:t>
      </w:r>
      <w:r w:rsidRPr="00844541">
        <w:rPr>
          <w:i/>
          <w:lang w:val="fr-FR"/>
        </w:rPr>
        <w:t>Ādamsons</w:t>
      </w:r>
      <w:r w:rsidRPr="00844541">
        <w:rPr>
          <w:lang w:val="fr-FR"/>
        </w:rPr>
        <w:t>, précité, § 118</w:t>
      </w:r>
      <w:r w:rsidRPr="00844541">
        <w:rPr>
          <w:szCs w:val="24"/>
          <w:lang w:val="fr-FR"/>
        </w:rPr>
        <w:t>).</w:t>
      </w:r>
    </w:p>
    <w:p w:rsidR="00E543EE" w:rsidRPr="00844541" w:rsidRDefault="00E543EE" w:rsidP="00844541">
      <w:pPr>
        <w:pStyle w:val="ECHRPara"/>
        <w:rPr>
          <w:lang w:val="fr-FR"/>
        </w:rPr>
      </w:pPr>
      <w:r w:rsidRPr="00844541">
        <w:rPr>
          <w:szCs w:val="24"/>
        </w:rPr>
        <w:fldChar w:fldCharType="begin"/>
      </w:r>
      <w:r w:rsidRPr="00844541">
        <w:rPr>
          <w:szCs w:val="24"/>
          <w:lang w:val="fr-FR"/>
        </w:rPr>
        <w:instrText xml:space="preserve"> SEQ level0 \*arabic </w:instrText>
      </w:r>
      <w:r w:rsidRPr="00844541">
        <w:rPr>
          <w:szCs w:val="24"/>
        </w:rPr>
        <w:fldChar w:fldCharType="separate"/>
      </w:r>
      <w:r w:rsidR="00767866">
        <w:rPr>
          <w:noProof/>
          <w:szCs w:val="24"/>
          <w:lang w:val="fr-FR"/>
        </w:rPr>
        <w:t>80</w:t>
      </w:r>
      <w:r w:rsidRPr="00844541">
        <w:rPr>
          <w:szCs w:val="24"/>
        </w:rPr>
        <w:fldChar w:fldCharType="end"/>
      </w:r>
      <w:r w:rsidRPr="00844541">
        <w:rPr>
          <w:szCs w:val="24"/>
          <w:lang w:val="fr-FR"/>
        </w:rPr>
        <w:t>.  La Cour souligne ensuite avoir déjà reconnu que l</w:t>
      </w:r>
      <w:r w:rsidR="00844541">
        <w:rPr>
          <w:szCs w:val="24"/>
          <w:lang w:val="fr-FR"/>
        </w:rPr>
        <w:t>’</w:t>
      </w:r>
      <w:r w:rsidRPr="00844541">
        <w:rPr>
          <w:szCs w:val="24"/>
          <w:lang w:val="fr-FR"/>
        </w:rPr>
        <w:t xml:space="preserve">éventualité de divergences de jurisprudence est inhérente </w:t>
      </w:r>
      <w:r w:rsidR="002D2454" w:rsidRPr="00844541">
        <w:rPr>
          <w:szCs w:val="24"/>
          <w:lang w:val="fr-FR"/>
        </w:rPr>
        <w:t xml:space="preserve">par nature </w:t>
      </w:r>
      <w:r w:rsidRPr="00844541">
        <w:rPr>
          <w:szCs w:val="24"/>
          <w:lang w:val="fr-FR"/>
        </w:rPr>
        <w:t>à tout système judiciaire reposant sur un ensemble de juridictions du fond ayant autorité sur leur ressort territorial. De telles divergences peuvent également apparaître au sein d</w:t>
      </w:r>
      <w:r w:rsidR="00844541">
        <w:rPr>
          <w:szCs w:val="24"/>
          <w:lang w:val="fr-FR"/>
        </w:rPr>
        <w:t>’</w:t>
      </w:r>
      <w:r w:rsidRPr="00844541">
        <w:rPr>
          <w:szCs w:val="24"/>
          <w:lang w:val="fr-FR"/>
        </w:rPr>
        <w:t>une même juridiction. Cela en soi ne saurait être jugé contraire à la Convention (</w:t>
      </w:r>
      <w:r w:rsidRPr="00844541">
        <w:rPr>
          <w:i/>
          <w:lang w:val="fr-FR"/>
        </w:rPr>
        <w:t>Santos Pinto c. Portugal</w:t>
      </w:r>
      <w:r w:rsidRPr="00844541">
        <w:rPr>
          <w:lang w:val="fr-FR"/>
        </w:rPr>
        <w:t>, n</w:t>
      </w:r>
      <w:r w:rsidRPr="00844541">
        <w:rPr>
          <w:vertAlign w:val="superscript"/>
          <w:lang w:val="fr-FR"/>
        </w:rPr>
        <w:t>o</w:t>
      </w:r>
      <w:r w:rsidRPr="00844541">
        <w:rPr>
          <w:lang w:val="fr-FR"/>
        </w:rPr>
        <w:t xml:space="preserve"> 39005/04, § 41, 20 mai 2008).</w:t>
      </w:r>
    </w:p>
    <w:p w:rsidR="00E543EE" w:rsidRPr="00844541" w:rsidRDefault="00E543EE" w:rsidP="00844541">
      <w:pPr>
        <w:pStyle w:val="ECHRPara"/>
        <w:rPr>
          <w:i/>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81</w:t>
      </w:r>
      <w:r w:rsidRPr="00844541">
        <w:fldChar w:fldCharType="end"/>
      </w:r>
      <w:r w:rsidRPr="00844541">
        <w:rPr>
          <w:lang w:val="fr-FR"/>
        </w:rPr>
        <w:t xml:space="preserve">.  Saisie à maintes reprises </w:t>
      </w:r>
      <w:r w:rsidRPr="00844541">
        <w:rPr>
          <w:szCs w:val="24"/>
          <w:lang w:val="fr-FR"/>
        </w:rPr>
        <w:t>déjà de litiges mettant en jeu la question de divergences de jurisprudence (</w:t>
      </w:r>
      <w:r w:rsidRPr="00844541">
        <w:rPr>
          <w:lang w:val="fr-FR"/>
        </w:rPr>
        <w:t xml:space="preserve">voir, notamment, </w:t>
      </w:r>
      <w:r w:rsidRPr="00844541">
        <w:rPr>
          <w:i/>
          <w:lang w:val="fr-FR"/>
        </w:rPr>
        <w:t>Beian c. Roumanie</w:t>
      </w:r>
      <w:r w:rsidRPr="00844541">
        <w:rPr>
          <w:lang w:val="fr-FR"/>
        </w:rPr>
        <w:t xml:space="preserve"> </w:t>
      </w:r>
      <w:r w:rsidRPr="00844541">
        <w:rPr>
          <w:i/>
          <w:lang w:val="fr-FR"/>
        </w:rPr>
        <w:t>(n</w:t>
      </w:r>
      <w:r w:rsidRPr="00844541">
        <w:rPr>
          <w:i/>
          <w:vertAlign w:val="superscript"/>
          <w:lang w:val="fr-FR"/>
        </w:rPr>
        <w:t>o</w:t>
      </w:r>
      <w:r w:rsidRPr="00844541">
        <w:rPr>
          <w:i/>
          <w:lang w:val="fr-FR"/>
        </w:rPr>
        <w:t xml:space="preserve"> 1)</w:t>
      </w:r>
      <w:r w:rsidRPr="00844541">
        <w:rPr>
          <w:lang w:val="fr-FR"/>
        </w:rPr>
        <w:t>, n</w:t>
      </w:r>
      <w:r w:rsidRPr="00844541">
        <w:rPr>
          <w:vertAlign w:val="superscript"/>
          <w:lang w:val="fr-FR"/>
        </w:rPr>
        <w:t>o</w:t>
      </w:r>
      <w:r w:rsidR="00934549" w:rsidRPr="00844541">
        <w:rPr>
          <w:lang w:val="fr-FR"/>
        </w:rPr>
        <w:t> </w:t>
      </w:r>
      <w:r w:rsidRPr="00844541">
        <w:rPr>
          <w:lang w:val="fr-FR"/>
        </w:rPr>
        <w:t>30658/05, CEDH 2007</w:t>
      </w:r>
      <w:r w:rsidRPr="00844541">
        <w:rPr>
          <w:lang w:val="fr-FR"/>
        </w:rPr>
        <w:noBreakHyphen/>
        <w:t xml:space="preserve">XIII, et </w:t>
      </w:r>
      <w:r w:rsidRPr="00844541">
        <w:rPr>
          <w:i/>
          <w:lang w:val="fr-FR"/>
        </w:rPr>
        <w:t>Iordan Iordanov et autres c. Bulgarie</w:t>
      </w:r>
      <w:r w:rsidRPr="00844541">
        <w:rPr>
          <w:lang w:val="fr-FR"/>
        </w:rPr>
        <w:t xml:space="preserve">, </w:t>
      </w:r>
      <w:r w:rsidR="00016755" w:rsidRPr="00844541">
        <w:rPr>
          <w:lang w:val="fr-FR"/>
        </w:rPr>
        <w:t>n</w:t>
      </w:r>
      <w:r w:rsidR="00016755" w:rsidRPr="00844541">
        <w:rPr>
          <w:vertAlign w:val="superscript"/>
          <w:lang w:val="fr-FR"/>
        </w:rPr>
        <w:t>o</w:t>
      </w:r>
      <w:r w:rsidR="00016755" w:rsidRPr="00844541">
        <w:rPr>
          <w:lang w:val="fr-FR"/>
        </w:rPr>
        <w:t> </w:t>
      </w:r>
      <w:r w:rsidRPr="00844541">
        <w:rPr>
          <w:lang w:val="fr-FR"/>
        </w:rPr>
        <w:t>23530/02</w:t>
      </w:r>
      <w:r w:rsidRPr="00844541">
        <w:rPr>
          <w:snapToGrid w:val="0"/>
          <w:lang w:val="fr-FR"/>
        </w:rPr>
        <w:t xml:space="preserve">, 2 </w:t>
      </w:r>
      <w:r w:rsidRPr="00844541">
        <w:rPr>
          <w:lang w:val="fr-FR"/>
        </w:rPr>
        <w:t>juillet</w:t>
      </w:r>
      <w:r w:rsidRPr="00844541">
        <w:rPr>
          <w:snapToGrid w:val="0"/>
          <w:lang w:val="fr-FR"/>
        </w:rPr>
        <w:t xml:space="preserve"> 2009), </w:t>
      </w:r>
      <w:r w:rsidRPr="00844541">
        <w:rPr>
          <w:snapToGrid w:val="0"/>
          <w:szCs w:val="24"/>
          <w:lang w:val="fr-FR"/>
        </w:rPr>
        <w:t xml:space="preserve">la Cour </w:t>
      </w:r>
      <w:r w:rsidR="00016755" w:rsidRPr="00844541">
        <w:rPr>
          <w:snapToGrid w:val="0"/>
          <w:szCs w:val="24"/>
          <w:lang w:val="fr-FR"/>
        </w:rPr>
        <w:t>s</w:t>
      </w:r>
      <w:r w:rsidR="00844541">
        <w:rPr>
          <w:snapToGrid w:val="0"/>
          <w:szCs w:val="24"/>
          <w:lang w:val="fr-FR"/>
        </w:rPr>
        <w:t>’</w:t>
      </w:r>
      <w:r w:rsidR="00016755" w:rsidRPr="00844541">
        <w:rPr>
          <w:snapToGrid w:val="0"/>
          <w:szCs w:val="24"/>
          <w:lang w:val="fr-FR"/>
        </w:rPr>
        <w:t>est</w:t>
      </w:r>
      <w:r w:rsidRPr="00844541">
        <w:rPr>
          <w:snapToGrid w:val="0"/>
          <w:szCs w:val="24"/>
          <w:lang w:val="fr-FR"/>
        </w:rPr>
        <w:t xml:space="preserve"> prononc</w:t>
      </w:r>
      <w:r w:rsidR="00016755" w:rsidRPr="00844541">
        <w:rPr>
          <w:snapToGrid w:val="0"/>
          <w:szCs w:val="24"/>
          <w:lang w:val="fr-FR"/>
        </w:rPr>
        <w:t>ée</w:t>
      </w:r>
      <w:r w:rsidRPr="00844541">
        <w:rPr>
          <w:snapToGrid w:val="0"/>
          <w:szCs w:val="24"/>
          <w:lang w:val="fr-FR"/>
        </w:rPr>
        <w:t xml:space="preserve"> sur </w:t>
      </w:r>
      <w:r w:rsidRPr="00844541">
        <w:rPr>
          <w:lang w:val="fr-FR"/>
        </w:rPr>
        <w:t xml:space="preserve">le point de savoir </w:t>
      </w:r>
      <w:r w:rsidRPr="00844541">
        <w:rPr>
          <w:lang w:val="fr-FR"/>
        </w:rPr>
        <w:lastRenderedPageBreak/>
        <w:t>dans quelles conditions des contradictions dans la jurisprudence d</w:t>
      </w:r>
      <w:r w:rsidR="00844541">
        <w:rPr>
          <w:lang w:val="fr-FR"/>
        </w:rPr>
        <w:t>’</w:t>
      </w:r>
      <w:r w:rsidRPr="00844541">
        <w:rPr>
          <w:lang w:val="fr-FR"/>
        </w:rPr>
        <w:t xml:space="preserve">une juridiction nationale suprême </w:t>
      </w:r>
      <w:r w:rsidRPr="00844541">
        <w:rPr>
          <w:snapToGrid w:val="0"/>
          <w:szCs w:val="24"/>
          <w:lang w:val="fr-FR"/>
        </w:rPr>
        <w:t xml:space="preserve">portaient atteinte </w:t>
      </w:r>
      <w:r w:rsidRPr="00844541">
        <w:rPr>
          <w:lang w:val="fr-FR"/>
        </w:rPr>
        <w:t xml:space="preserve">aux exigences du procès équitable prévu par </w:t>
      </w:r>
      <w:r w:rsidRPr="00844541">
        <w:rPr>
          <w:szCs w:val="24"/>
          <w:lang w:val="fr-FR"/>
        </w:rPr>
        <w:t>l</w:t>
      </w:r>
      <w:r w:rsidR="00844541">
        <w:rPr>
          <w:szCs w:val="24"/>
          <w:lang w:val="fr-FR"/>
        </w:rPr>
        <w:t>’</w:t>
      </w:r>
      <w:r w:rsidRPr="00844541">
        <w:rPr>
          <w:szCs w:val="24"/>
          <w:lang w:val="fr-FR"/>
        </w:rPr>
        <w:t xml:space="preserve">article 6 § 1 de la Convention. </w:t>
      </w:r>
      <w:r w:rsidRPr="00844541">
        <w:rPr>
          <w:lang w:val="fr-FR"/>
        </w:rPr>
        <w:t>Ce faisant, elle a précisé quels étaient les critères qui guidaient son appréciation, lesquels consistent à rechercher s</w:t>
      </w:r>
      <w:r w:rsidR="00844541">
        <w:rPr>
          <w:lang w:val="fr-FR"/>
        </w:rPr>
        <w:t>’</w:t>
      </w:r>
      <w:r w:rsidRPr="00844541">
        <w:rPr>
          <w:lang w:val="fr-FR"/>
        </w:rPr>
        <w:t>il existe « des divergences profondes et persistantes » dans la jurisprudence d</w:t>
      </w:r>
      <w:r w:rsidR="00844541">
        <w:rPr>
          <w:lang w:val="fr-FR"/>
        </w:rPr>
        <w:t>’</w:t>
      </w:r>
      <w:r w:rsidRPr="00844541">
        <w:rPr>
          <w:lang w:val="fr-FR"/>
        </w:rPr>
        <w:t>une juridiction suprême, si la législation interne prévoit des mécanismes permettant de supprimer ces incohérences, si ces mécanismes ont été appliqués et quels ont été, le cas échéant, les effets de leur application (</w:t>
      </w:r>
      <w:r w:rsidR="000C1C2F" w:rsidRPr="00844541">
        <w:rPr>
          <w:i/>
          <w:lang w:val="fr-FR"/>
        </w:rPr>
        <w:t>Nejdet Şahin et Perihan Şahin c.</w:t>
      </w:r>
      <w:r w:rsidR="00F1107A" w:rsidRPr="00844541">
        <w:rPr>
          <w:i/>
          <w:lang w:val="fr-FR"/>
        </w:rPr>
        <w:t> </w:t>
      </w:r>
      <w:r w:rsidR="000C1C2F" w:rsidRPr="00844541">
        <w:rPr>
          <w:i/>
          <w:lang w:val="fr-FR"/>
        </w:rPr>
        <w:t xml:space="preserve">Turquie </w:t>
      </w:r>
      <w:r w:rsidR="000C1C2F" w:rsidRPr="00844541">
        <w:rPr>
          <w:lang w:val="fr-FR"/>
        </w:rPr>
        <w:t>[GC], n</w:t>
      </w:r>
      <w:r w:rsidR="000C1C2F" w:rsidRPr="00844541">
        <w:rPr>
          <w:vertAlign w:val="superscript"/>
          <w:lang w:val="fr-FR"/>
        </w:rPr>
        <w:t>o</w:t>
      </w:r>
      <w:r w:rsidR="000C1C2F" w:rsidRPr="00844541">
        <w:rPr>
          <w:lang w:val="fr-FR"/>
        </w:rPr>
        <w:t xml:space="preserve"> 13279/05</w:t>
      </w:r>
      <w:r w:rsidR="000C1C2F" w:rsidRPr="00844541">
        <w:rPr>
          <w:snapToGrid w:val="0"/>
          <w:szCs w:val="24"/>
          <w:lang w:val="fr-FR"/>
        </w:rPr>
        <w:t xml:space="preserve">, </w:t>
      </w:r>
      <w:r w:rsidR="003138C8" w:rsidRPr="00844541">
        <w:rPr>
          <w:snapToGrid w:val="0"/>
          <w:szCs w:val="24"/>
          <w:lang w:val="fr-FR"/>
        </w:rPr>
        <w:t>§ </w:t>
      </w:r>
      <w:r w:rsidR="000C1C2F" w:rsidRPr="00844541">
        <w:rPr>
          <w:snapToGrid w:val="0"/>
          <w:szCs w:val="24"/>
          <w:lang w:val="fr-FR"/>
        </w:rPr>
        <w:t xml:space="preserve">53, </w:t>
      </w:r>
      <w:r w:rsidR="000C1C2F" w:rsidRPr="00844541">
        <w:rPr>
          <w:szCs w:val="24"/>
          <w:lang w:val="fr-FR"/>
        </w:rPr>
        <w:t>20</w:t>
      </w:r>
      <w:r w:rsidR="000C1C2F" w:rsidRPr="00844541">
        <w:rPr>
          <w:snapToGrid w:val="0"/>
          <w:szCs w:val="24"/>
          <w:lang w:val="fr-FR"/>
        </w:rPr>
        <w:t xml:space="preserve"> </w:t>
      </w:r>
      <w:r w:rsidR="000C1C2F" w:rsidRPr="00844541">
        <w:rPr>
          <w:szCs w:val="24"/>
          <w:lang w:val="fr-FR"/>
        </w:rPr>
        <w:t>octobre</w:t>
      </w:r>
      <w:r w:rsidR="000C1C2F" w:rsidRPr="00844541">
        <w:rPr>
          <w:snapToGrid w:val="0"/>
          <w:szCs w:val="24"/>
          <w:lang w:val="fr-FR"/>
        </w:rPr>
        <w:t xml:space="preserve"> 2011</w:t>
      </w:r>
      <w:r w:rsidRPr="00844541">
        <w:rPr>
          <w:lang w:val="fr-FR"/>
        </w:rPr>
        <w:t>)</w:t>
      </w:r>
      <w:r w:rsidRPr="00844541">
        <w:rPr>
          <w:szCs w:val="24"/>
          <w:lang w:val="fr-FR"/>
        </w:rPr>
        <w:t>.</w:t>
      </w:r>
    </w:p>
    <w:p w:rsidR="00F4753A" w:rsidRPr="00844541" w:rsidRDefault="00F4753A" w:rsidP="00844541">
      <w:pPr>
        <w:pStyle w:val="ECHRHeading5"/>
      </w:pPr>
      <w:r w:rsidRPr="00844541">
        <w:t>ii.</w:t>
      </w:r>
      <w:r w:rsidR="00C37E41" w:rsidRPr="00844541">
        <w:t>  </w:t>
      </w:r>
      <w:r w:rsidR="00E368CE" w:rsidRPr="00844541">
        <w:t>L</w:t>
      </w:r>
      <w:r w:rsidR="00844541">
        <w:t>’</w:t>
      </w:r>
      <w:r w:rsidR="00E368CE" w:rsidRPr="00844541">
        <w:t>a</w:t>
      </w:r>
      <w:r w:rsidRPr="00844541">
        <w:t>pplication des principes en l</w:t>
      </w:r>
      <w:r w:rsidR="00844541">
        <w:t>’</w:t>
      </w:r>
      <w:r w:rsidRPr="00844541">
        <w:t>espèce</w:t>
      </w:r>
    </w:p>
    <w:p w:rsidR="003F49DD"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82</w:t>
      </w:r>
      <w:r w:rsidRPr="00844541">
        <w:rPr>
          <w:noProof/>
        </w:rPr>
        <w:fldChar w:fldCharType="end"/>
      </w:r>
      <w:r w:rsidR="00857270" w:rsidRPr="00844541">
        <w:rPr>
          <w:lang w:val="fr-FR"/>
        </w:rPr>
        <w:t>.  </w:t>
      </w:r>
      <w:r w:rsidR="001D4052" w:rsidRPr="00844541">
        <w:rPr>
          <w:lang w:val="fr-FR"/>
        </w:rPr>
        <w:t>La Cour note que les requérants ont saisi les juridictions internes d</w:t>
      </w:r>
      <w:r w:rsidR="00844541">
        <w:rPr>
          <w:lang w:val="fr-FR"/>
        </w:rPr>
        <w:t>’</w:t>
      </w:r>
      <w:r w:rsidR="001D4052" w:rsidRPr="00844541">
        <w:rPr>
          <w:lang w:val="fr-FR"/>
        </w:rPr>
        <w:t xml:space="preserve">une action en revendication fondée sur le droit commun. Contrairement à leur attente, </w:t>
      </w:r>
      <w:r w:rsidR="003F49DD" w:rsidRPr="00844541">
        <w:rPr>
          <w:lang w:val="fr-FR"/>
        </w:rPr>
        <w:t>la cour d</w:t>
      </w:r>
      <w:r w:rsidR="00844541">
        <w:rPr>
          <w:lang w:val="fr-FR"/>
        </w:rPr>
        <w:t>’</w:t>
      </w:r>
      <w:r w:rsidR="003F49DD" w:rsidRPr="00844541">
        <w:rPr>
          <w:lang w:val="fr-FR"/>
        </w:rPr>
        <w:t>appel et la Haute Cour statuant dans l</w:t>
      </w:r>
      <w:r w:rsidR="00844541">
        <w:rPr>
          <w:lang w:val="fr-FR"/>
        </w:rPr>
        <w:t>’</w:t>
      </w:r>
      <w:r w:rsidR="003F49DD" w:rsidRPr="00844541">
        <w:rPr>
          <w:lang w:val="fr-FR"/>
        </w:rPr>
        <w:t xml:space="preserve">affaire ont </w:t>
      </w:r>
      <w:r w:rsidR="003A75E5" w:rsidRPr="00844541">
        <w:rPr>
          <w:lang w:val="fr-FR"/>
        </w:rPr>
        <w:t xml:space="preserve">estimé </w:t>
      </w:r>
      <w:r w:rsidR="003F49DD" w:rsidRPr="00844541">
        <w:rPr>
          <w:lang w:val="fr-FR"/>
        </w:rPr>
        <w:t>qu</w:t>
      </w:r>
      <w:r w:rsidR="00844541">
        <w:rPr>
          <w:lang w:val="fr-FR"/>
        </w:rPr>
        <w:t>’</w:t>
      </w:r>
      <w:r w:rsidR="003F49DD" w:rsidRPr="00844541">
        <w:rPr>
          <w:lang w:val="fr-FR"/>
        </w:rPr>
        <w:t>elles ne pouvaient trancher l</w:t>
      </w:r>
      <w:r w:rsidR="00844541">
        <w:rPr>
          <w:lang w:val="fr-FR"/>
        </w:rPr>
        <w:t>’</w:t>
      </w:r>
      <w:r w:rsidR="003F49DD" w:rsidRPr="00844541">
        <w:rPr>
          <w:lang w:val="fr-FR"/>
        </w:rPr>
        <w:t xml:space="preserve">affaire comme une action en revendication de droit commun </w:t>
      </w:r>
      <w:r w:rsidR="00485BDD" w:rsidRPr="00844541">
        <w:rPr>
          <w:lang w:val="fr-FR"/>
        </w:rPr>
        <w:t>et elles ont privilégié l</w:t>
      </w:r>
      <w:r w:rsidR="00844541">
        <w:rPr>
          <w:lang w:val="fr-FR"/>
        </w:rPr>
        <w:t>’</w:t>
      </w:r>
      <w:r w:rsidR="00485BDD" w:rsidRPr="00844541">
        <w:rPr>
          <w:lang w:val="fr-FR"/>
        </w:rPr>
        <w:t>application d</w:t>
      </w:r>
      <w:r w:rsidR="00844541">
        <w:rPr>
          <w:lang w:val="fr-FR"/>
        </w:rPr>
        <w:t>’</w:t>
      </w:r>
      <w:r w:rsidR="00485BDD" w:rsidRPr="00844541">
        <w:rPr>
          <w:lang w:val="fr-FR"/>
        </w:rPr>
        <w:t xml:space="preserve">une loi spéciale, à savoir </w:t>
      </w:r>
      <w:r w:rsidR="00695C25" w:rsidRPr="00844541">
        <w:rPr>
          <w:lang w:val="fr-FR"/>
        </w:rPr>
        <w:t>le décret-loi n</w:t>
      </w:r>
      <w:r w:rsidR="00695C25" w:rsidRPr="00844541">
        <w:rPr>
          <w:vertAlign w:val="superscript"/>
          <w:lang w:val="fr-FR"/>
        </w:rPr>
        <w:t>o</w:t>
      </w:r>
      <w:r w:rsidR="00695C25" w:rsidRPr="00844541">
        <w:rPr>
          <w:lang w:val="fr-FR"/>
        </w:rPr>
        <w:t> 126/1990</w:t>
      </w:r>
      <w:r w:rsidR="003F49DD" w:rsidRPr="00844541">
        <w:rPr>
          <w:lang w:val="fr-FR"/>
        </w:rPr>
        <w:t xml:space="preserve">. </w:t>
      </w:r>
      <w:r w:rsidR="001D4052" w:rsidRPr="00844541">
        <w:rPr>
          <w:lang w:val="fr-FR"/>
        </w:rPr>
        <w:t>Les requérants y voi</w:t>
      </w:r>
      <w:r w:rsidR="006D1969" w:rsidRPr="00844541">
        <w:rPr>
          <w:lang w:val="fr-FR"/>
        </w:rPr>
        <w:t>en</w:t>
      </w:r>
      <w:r w:rsidR="001D4052" w:rsidRPr="00844541">
        <w:rPr>
          <w:lang w:val="fr-FR"/>
        </w:rPr>
        <w:t xml:space="preserve">t une absence de </w:t>
      </w:r>
      <w:r w:rsidR="00F46D8D" w:rsidRPr="00844541">
        <w:rPr>
          <w:lang w:val="fr-FR"/>
        </w:rPr>
        <w:t>prévisibilité</w:t>
      </w:r>
      <w:r w:rsidR="001D4052" w:rsidRPr="00844541">
        <w:rPr>
          <w:lang w:val="fr-FR"/>
        </w:rPr>
        <w:t xml:space="preserve"> de l</w:t>
      </w:r>
      <w:r w:rsidR="00844541">
        <w:rPr>
          <w:lang w:val="fr-FR"/>
        </w:rPr>
        <w:t>’</w:t>
      </w:r>
      <w:r w:rsidR="001D4052" w:rsidRPr="00844541">
        <w:rPr>
          <w:lang w:val="fr-FR"/>
        </w:rPr>
        <w:t>application du critère de la loi spéciale dans le cadre d</w:t>
      </w:r>
      <w:r w:rsidR="00844541">
        <w:rPr>
          <w:lang w:val="fr-FR"/>
        </w:rPr>
        <w:t>’</w:t>
      </w:r>
      <w:r w:rsidR="001D4052" w:rsidRPr="00844541">
        <w:rPr>
          <w:lang w:val="fr-FR"/>
        </w:rPr>
        <w:t>une action en revendication fondée sur le droit commun et</w:t>
      </w:r>
      <w:r w:rsidR="003A75E5" w:rsidRPr="00844541">
        <w:rPr>
          <w:lang w:val="fr-FR"/>
        </w:rPr>
        <w:t>,</w:t>
      </w:r>
      <w:r w:rsidR="001D4052" w:rsidRPr="00844541">
        <w:rPr>
          <w:lang w:val="fr-FR"/>
        </w:rPr>
        <w:t xml:space="preserve"> dès lors</w:t>
      </w:r>
      <w:r w:rsidR="003A75E5" w:rsidRPr="00844541">
        <w:rPr>
          <w:lang w:val="fr-FR"/>
        </w:rPr>
        <w:t>,</w:t>
      </w:r>
      <w:r w:rsidR="001D4052" w:rsidRPr="00844541">
        <w:rPr>
          <w:lang w:val="fr-FR"/>
        </w:rPr>
        <w:t xml:space="preserve"> un manquement au principe de la sécurité juridique.</w:t>
      </w:r>
    </w:p>
    <w:p w:rsidR="003F49DD" w:rsidRPr="00844541" w:rsidRDefault="00AA632A"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83</w:t>
      </w:r>
      <w:r w:rsidRPr="00844541">
        <w:rPr>
          <w:noProof/>
        </w:rPr>
        <w:fldChar w:fldCharType="end"/>
      </w:r>
      <w:r w:rsidR="003F49DD" w:rsidRPr="00844541">
        <w:rPr>
          <w:lang w:val="fr-FR"/>
        </w:rPr>
        <w:t>.  La Cour note que l</w:t>
      </w:r>
      <w:r w:rsidR="00844541">
        <w:rPr>
          <w:lang w:val="fr-FR"/>
        </w:rPr>
        <w:t>’</w:t>
      </w:r>
      <w:r w:rsidR="003F49DD" w:rsidRPr="00844541">
        <w:rPr>
          <w:lang w:val="fr-FR"/>
        </w:rPr>
        <w:t xml:space="preserve">ordonnance du </w:t>
      </w:r>
      <w:r w:rsidR="003A75E5" w:rsidRPr="00844541">
        <w:rPr>
          <w:lang w:val="fr-FR"/>
        </w:rPr>
        <w:t>g</w:t>
      </w:r>
      <w:r w:rsidR="003F49DD" w:rsidRPr="00844541">
        <w:rPr>
          <w:lang w:val="fr-FR"/>
        </w:rPr>
        <w:t>ouvernement n</w:t>
      </w:r>
      <w:r w:rsidR="003F49DD" w:rsidRPr="00844541">
        <w:rPr>
          <w:vertAlign w:val="superscript"/>
          <w:lang w:val="fr-FR"/>
        </w:rPr>
        <w:t>o</w:t>
      </w:r>
      <w:r w:rsidR="004A1897" w:rsidRPr="00844541">
        <w:rPr>
          <w:lang w:val="fr-FR"/>
        </w:rPr>
        <w:t> 64/2004 du 13 </w:t>
      </w:r>
      <w:r w:rsidR="003F49DD" w:rsidRPr="00844541">
        <w:rPr>
          <w:lang w:val="fr-FR"/>
        </w:rPr>
        <w:t>août 2004 (« l</w:t>
      </w:r>
      <w:r w:rsidR="00844541">
        <w:rPr>
          <w:lang w:val="fr-FR"/>
        </w:rPr>
        <w:t>’</w:t>
      </w:r>
      <w:r w:rsidR="003F49DD" w:rsidRPr="00844541">
        <w:rPr>
          <w:lang w:val="fr-FR"/>
        </w:rPr>
        <w:t>ordonnance n</w:t>
      </w:r>
      <w:r w:rsidR="003F49DD" w:rsidRPr="00844541">
        <w:rPr>
          <w:vertAlign w:val="superscript"/>
          <w:lang w:val="fr-FR"/>
        </w:rPr>
        <w:t>o</w:t>
      </w:r>
      <w:r w:rsidR="003F49DD" w:rsidRPr="00844541">
        <w:rPr>
          <w:lang w:val="fr-FR"/>
        </w:rPr>
        <w:t xml:space="preserve"> 64/2004 ») </w:t>
      </w:r>
      <w:r w:rsidR="00E44115" w:rsidRPr="00844541">
        <w:rPr>
          <w:lang w:val="fr-FR"/>
        </w:rPr>
        <w:t xml:space="preserve">prévoit </w:t>
      </w:r>
      <w:r w:rsidR="003F49DD" w:rsidRPr="00844541">
        <w:rPr>
          <w:lang w:val="fr-FR"/>
        </w:rPr>
        <w:t xml:space="preserve">que, au cas où les représentants cléricaux des deux cultes religieux ne trouvent pas un accord au sein de la commission mixte, la partie </w:t>
      </w:r>
      <w:r w:rsidR="00462EC0" w:rsidRPr="00844541">
        <w:rPr>
          <w:lang w:val="fr-FR"/>
        </w:rPr>
        <w:t xml:space="preserve">ayant un intérêt à agir </w:t>
      </w:r>
      <w:r w:rsidR="003F49DD" w:rsidRPr="00844541">
        <w:rPr>
          <w:lang w:val="fr-FR"/>
        </w:rPr>
        <w:t xml:space="preserve">peut introduire une action en justice </w:t>
      </w:r>
      <w:r w:rsidR="003A75E5" w:rsidRPr="00844541">
        <w:rPr>
          <w:lang w:val="fr-FR"/>
        </w:rPr>
        <w:t>fondée sur le</w:t>
      </w:r>
      <w:r w:rsidR="003F49DD" w:rsidRPr="00844541">
        <w:rPr>
          <w:lang w:val="fr-FR"/>
        </w:rPr>
        <w:t xml:space="preserve"> droit commun.</w:t>
      </w:r>
    </w:p>
    <w:p w:rsidR="00767866" w:rsidRPr="00844541" w:rsidRDefault="00AA632A" w:rsidP="00844541">
      <w:pPr>
        <w:pStyle w:val="ECHRPara"/>
        <w:rPr>
          <w:noProof/>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84</w:t>
      </w:r>
      <w:r w:rsidRPr="00844541">
        <w:rPr>
          <w:noProof/>
        </w:rPr>
        <w:fldChar w:fldCharType="end"/>
      </w:r>
      <w:r w:rsidR="00E44115" w:rsidRPr="00844541">
        <w:rPr>
          <w:lang w:val="fr-FR"/>
        </w:rPr>
        <w:t xml:space="preserve">.  Pour définir la situation </w:t>
      </w:r>
      <w:r w:rsidR="003A75E5" w:rsidRPr="00844541">
        <w:rPr>
          <w:lang w:val="fr-FR"/>
        </w:rPr>
        <w:t>qui est celle d</w:t>
      </w:r>
      <w:r w:rsidR="00E44115" w:rsidRPr="00844541">
        <w:rPr>
          <w:lang w:val="fr-FR"/>
        </w:rPr>
        <w:t xml:space="preserve">es requérants, la notion </w:t>
      </w:r>
      <w:r w:rsidR="008549DA" w:rsidRPr="00844541">
        <w:rPr>
          <w:lang w:val="fr-FR"/>
        </w:rPr>
        <w:t xml:space="preserve">« en vertu du droit commun » </w:t>
      </w:r>
      <w:r w:rsidR="00E44115" w:rsidRPr="00844541">
        <w:rPr>
          <w:lang w:val="fr-FR"/>
        </w:rPr>
        <w:t>introduite par l</w:t>
      </w:r>
      <w:r w:rsidR="00844541">
        <w:rPr>
          <w:lang w:val="fr-FR"/>
        </w:rPr>
        <w:t>’</w:t>
      </w:r>
      <w:r w:rsidR="00E44115" w:rsidRPr="00844541">
        <w:rPr>
          <w:lang w:val="fr-FR"/>
        </w:rPr>
        <w:t>ordonnance n</w:t>
      </w:r>
      <w:r w:rsidR="00E44115" w:rsidRPr="00844541">
        <w:rPr>
          <w:vertAlign w:val="superscript"/>
          <w:lang w:val="fr-FR"/>
        </w:rPr>
        <w:t>o</w:t>
      </w:r>
      <w:r w:rsidR="00E44115" w:rsidRPr="00844541">
        <w:rPr>
          <w:lang w:val="fr-FR"/>
        </w:rPr>
        <w:t xml:space="preserve"> 64/2004 </w:t>
      </w:r>
      <w:r w:rsidR="008549DA" w:rsidRPr="00844541">
        <w:rPr>
          <w:lang w:val="fr-FR"/>
        </w:rPr>
        <w:t>et ses corrélations avec les dispositions du décret-loi n</w:t>
      </w:r>
      <w:r w:rsidR="008549DA" w:rsidRPr="00844541">
        <w:rPr>
          <w:vertAlign w:val="superscript"/>
          <w:lang w:val="fr-FR"/>
        </w:rPr>
        <w:t>o</w:t>
      </w:r>
      <w:r w:rsidR="008549DA" w:rsidRPr="00844541">
        <w:rPr>
          <w:lang w:val="fr-FR"/>
        </w:rPr>
        <w:t xml:space="preserve"> 126/1990 </w:t>
      </w:r>
      <w:r w:rsidR="00E44115" w:rsidRPr="00844541">
        <w:rPr>
          <w:lang w:val="fr-FR"/>
        </w:rPr>
        <w:t>semble</w:t>
      </w:r>
      <w:r w:rsidR="008549DA" w:rsidRPr="00844541">
        <w:rPr>
          <w:lang w:val="fr-FR"/>
        </w:rPr>
        <w:t>nt</w:t>
      </w:r>
      <w:r w:rsidR="00E44115" w:rsidRPr="00844541">
        <w:rPr>
          <w:lang w:val="fr-FR"/>
        </w:rPr>
        <w:t xml:space="preserve"> essentielle</w:t>
      </w:r>
      <w:r w:rsidR="008549DA" w:rsidRPr="00844541">
        <w:rPr>
          <w:lang w:val="fr-FR"/>
        </w:rPr>
        <w:t>s</w:t>
      </w:r>
      <w:r w:rsidR="00E44115" w:rsidRPr="00844541">
        <w:rPr>
          <w:lang w:val="fr-FR"/>
        </w:rPr>
        <w:t xml:space="preserve">. En effet, en faisant </w:t>
      </w:r>
      <w:r w:rsidR="003A75E5" w:rsidRPr="00844541">
        <w:rPr>
          <w:lang w:val="fr-FR"/>
        </w:rPr>
        <w:t xml:space="preserve">ainsi </w:t>
      </w:r>
      <w:r w:rsidR="00E44115" w:rsidRPr="00844541">
        <w:rPr>
          <w:lang w:val="fr-FR"/>
        </w:rPr>
        <w:t>référence au droit commun, ni cette ordonnance ni une autre loi ultérieure n</w:t>
      </w:r>
      <w:r w:rsidR="00844541">
        <w:rPr>
          <w:lang w:val="fr-FR"/>
        </w:rPr>
        <w:t>’</w:t>
      </w:r>
      <w:r w:rsidR="00E44115" w:rsidRPr="00844541">
        <w:rPr>
          <w:lang w:val="fr-FR"/>
        </w:rPr>
        <w:t>ont apporté des précisions supplémentaires pour son interprétation.</w:t>
      </w:r>
      <w:r w:rsidR="000662C9" w:rsidRPr="00844541">
        <w:rPr>
          <w:lang w:val="fr-FR"/>
        </w:rPr>
        <w:t xml:space="preserve"> </w:t>
      </w:r>
      <w:r w:rsidR="00470A47" w:rsidRPr="00844541">
        <w:rPr>
          <w:lang w:val="fr-FR"/>
        </w:rPr>
        <w:t>En général</w:t>
      </w:r>
      <w:r w:rsidR="000662C9" w:rsidRPr="00844541">
        <w:rPr>
          <w:lang w:val="fr-FR"/>
        </w:rPr>
        <w:t>, le « droit commun » en matière de protection du droit de propriété est représenté par l</w:t>
      </w:r>
      <w:r w:rsidR="00844541">
        <w:rPr>
          <w:lang w:val="fr-FR"/>
        </w:rPr>
        <w:t>’</w:t>
      </w:r>
      <w:r w:rsidR="000662C9" w:rsidRPr="00844541">
        <w:rPr>
          <w:lang w:val="fr-FR"/>
        </w:rPr>
        <w:t>action en revendication régie par l</w:t>
      </w:r>
      <w:r w:rsidR="00844541">
        <w:rPr>
          <w:lang w:val="fr-FR"/>
        </w:rPr>
        <w:t>’</w:t>
      </w:r>
      <w:r w:rsidR="000662C9" w:rsidRPr="00844541">
        <w:rPr>
          <w:lang w:val="fr-FR"/>
        </w:rPr>
        <w:t>article 480 du code civil tel qu</w:t>
      </w:r>
      <w:r w:rsidR="00844541">
        <w:rPr>
          <w:lang w:val="fr-FR"/>
        </w:rPr>
        <w:t>’</w:t>
      </w:r>
      <w:r w:rsidR="000662C9" w:rsidRPr="00844541">
        <w:rPr>
          <w:lang w:val="fr-FR"/>
        </w:rPr>
        <w:t xml:space="preserve">interprété par la doctrine et la jurisprudence (paragraphes </w:t>
      </w:r>
      <w:r w:rsidR="000662C9" w:rsidRPr="00844541">
        <w:fldChar w:fldCharType="begin"/>
      </w:r>
      <w:r w:rsidR="000662C9" w:rsidRPr="00844541">
        <w:rPr>
          <w:lang w:val="fr-FR"/>
        </w:rPr>
        <w:instrText xml:space="preserve"> REF P41 \h </w:instrText>
      </w:r>
      <w:r w:rsidR="003428ED" w:rsidRPr="00844541">
        <w:rPr>
          <w:lang w:val="fr-FR"/>
        </w:rPr>
        <w:instrText xml:space="preserve"> \* MERGEFORMAT </w:instrText>
      </w:r>
      <w:r w:rsidR="000662C9" w:rsidRPr="00844541">
        <w:fldChar w:fldCharType="separate"/>
      </w:r>
      <w:r w:rsidR="00767866">
        <w:rPr>
          <w:noProof/>
          <w:lang w:val="fr-FR"/>
        </w:rPr>
        <w:t>43</w:t>
      </w:r>
      <w:r w:rsidR="000662C9" w:rsidRPr="00844541">
        <w:fldChar w:fldCharType="end"/>
      </w:r>
      <w:r w:rsidR="000662C9" w:rsidRPr="00844541">
        <w:rPr>
          <w:lang w:val="fr-FR"/>
        </w:rPr>
        <w:t xml:space="preserve"> à </w:t>
      </w:r>
      <w:r w:rsidR="000662C9" w:rsidRPr="00844541">
        <w:fldChar w:fldCharType="begin"/>
      </w:r>
      <w:r w:rsidR="000662C9" w:rsidRPr="00844541">
        <w:rPr>
          <w:lang w:val="fr-FR"/>
        </w:rPr>
        <w:instrText xml:space="preserve"> REF P43 \h </w:instrText>
      </w:r>
      <w:r w:rsidR="003428ED" w:rsidRPr="00844541">
        <w:rPr>
          <w:lang w:val="fr-FR"/>
        </w:rPr>
        <w:instrText xml:space="preserve"> \* MERGEFORMAT </w:instrText>
      </w:r>
      <w:r w:rsidR="000662C9" w:rsidRPr="00844541">
        <w:fldChar w:fldCharType="separate"/>
      </w:r>
    </w:p>
    <w:p w:rsidR="00B43D08" w:rsidRPr="00844541" w:rsidRDefault="00767866" w:rsidP="00844541">
      <w:pPr>
        <w:pStyle w:val="ECHRPara"/>
        <w:rPr>
          <w:lang w:val="fr-FR"/>
        </w:rPr>
      </w:pPr>
      <w:r>
        <w:rPr>
          <w:noProof/>
          <w:lang w:val="fr-FR"/>
        </w:rPr>
        <w:t>45</w:t>
      </w:r>
      <w:r w:rsidR="000662C9" w:rsidRPr="00844541">
        <w:fldChar w:fldCharType="end"/>
      </w:r>
      <w:r w:rsidR="000662C9" w:rsidRPr="00844541">
        <w:rPr>
          <w:lang w:val="fr-FR"/>
        </w:rPr>
        <w:t xml:space="preserve"> ci-dessus).</w:t>
      </w:r>
    </w:p>
    <w:p w:rsidR="00B43D08" w:rsidRPr="00844541" w:rsidRDefault="004C79DD"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85</w:t>
      </w:r>
      <w:r w:rsidRPr="00844541">
        <w:rPr>
          <w:noProof/>
        </w:rPr>
        <w:fldChar w:fldCharType="end"/>
      </w:r>
      <w:r w:rsidRPr="00844541">
        <w:rPr>
          <w:lang w:val="fr-FR"/>
        </w:rPr>
        <w:t>.  La Cour constate également qu</w:t>
      </w:r>
      <w:r w:rsidR="00470A47" w:rsidRPr="00844541">
        <w:rPr>
          <w:lang w:val="fr-FR"/>
        </w:rPr>
        <w:t xml:space="preserve">e, </w:t>
      </w:r>
      <w:r w:rsidRPr="00844541">
        <w:rPr>
          <w:lang w:val="fr-FR"/>
        </w:rPr>
        <w:t>en juillet 2005, l</w:t>
      </w:r>
      <w:r w:rsidR="00844541">
        <w:rPr>
          <w:lang w:val="fr-FR"/>
        </w:rPr>
        <w:t>’</w:t>
      </w:r>
      <w:r w:rsidRPr="00844541">
        <w:rPr>
          <w:lang w:val="fr-FR"/>
        </w:rPr>
        <w:t>ordonnance d</w:t>
      </w:r>
      <w:r w:rsidR="00844541">
        <w:rPr>
          <w:lang w:val="fr-FR"/>
        </w:rPr>
        <w:t>’</w:t>
      </w:r>
      <w:r w:rsidRPr="00844541">
        <w:rPr>
          <w:lang w:val="fr-FR"/>
        </w:rPr>
        <w:t xml:space="preserve">urgence du </w:t>
      </w:r>
      <w:r w:rsidR="0045637D" w:rsidRPr="00844541">
        <w:rPr>
          <w:lang w:val="fr-FR"/>
        </w:rPr>
        <w:t>g</w:t>
      </w:r>
      <w:r w:rsidRPr="00844541">
        <w:rPr>
          <w:lang w:val="fr-FR"/>
        </w:rPr>
        <w:t>ouvernement n</w:t>
      </w:r>
      <w:r w:rsidRPr="00844541">
        <w:rPr>
          <w:vertAlign w:val="superscript"/>
          <w:lang w:val="fr-FR"/>
        </w:rPr>
        <w:t>o</w:t>
      </w:r>
      <w:r w:rsidRPr="00844541">
        <w:rPr>
          <w:lang w:val="fr-FR"/>
        </w:rPr>
        <w:t xml:space="preserve"> 94/2000 (« l</w:t>
      </w:r>
      <w:r w:rsidR="00844541">
        <w:rPr>
          <w:lang w:val="fr-FR"/>
        </w:rPr>
        <w:t>’</w:t>
      </w:r>
      <w:r w:rsidRPr="00844541">
        <w:rPr>
          <w:lang w:val="fr-FR"/>
        </w:rPr>
        <w:t>OUG n</w:t>
      </w:r>
      <w:r w:rsidRPr="00844541">
        <w:rPr>
          <w:vertAlign w:val="superscript"/>
          <w:lang w:val="fr-FR"/>
        </w:rPr>
        <w:t>o</w:t>
      </w:r>
      <w:r w:rsidRPr="00844541">
        <w:rPr>
          <w:lang w:val="fr-FR"/>
        </w:rPr>
        <w:t xml:space="preserve"> 94/2000 ») portant sur la restitution des immeubles ayant appartenu aux cultes religieux de Roumanie a été modifiée </w:t>
      </w:r>
      <w:r w:rsidR="00470A47" w:rsidRPr="00844541">
        <w:rPr>
          <w:lang w:val="fr-FR"/>
        </w:rPr>
        <w:t xml:space="preserve">pour </w:t>
      </w:r>
      <w:r w:rsidR="0045637D" w:rsidRPr="00844541">
        <w:rPr>
          <w:lang w:val="fr-FR"/>
        </w:rPr>
        <w:t>énonce</w:t>
      </w:r>
      <w:r w:rsidR="00470A47" w:rsidRPr="00844541">
        <w:rPr>
          <w:lang w:val="fr-FR"/>
        </w:rPr>
        <w:t>r</w:t>
      </w:r>
      <w:r w:rsidRPr="00844541">
        <w:rPr>
          <w:lang w:val="fr-FR"/>
        </w:rPr>
        <w:t xml:space="preserve"> que « l</w:t>
      </w:r>
      <w:r w:rsidRPr="00844541">
        <w:rPr>
          <w:lang w:val="fr-FR" w:bidi="en-US"/>
        </w:rPr>
        <w:t>e régime juridique des immeubles qui constituaient des lieux de culte sera</w:t>
      </w:r>
      <w:r w:rsidR="0045637D" w:rsidRPr="00844541">
        <w:rPr>
          <w:lang w:val="fr-FR" w:bidi="en-US"/>
        </w:rPr>
        <w:t>[it]</w:t>
      </w:r>
      <w:r w:rsidRPr="00844541">
        <w:rPr>
          <w:lang w:val="fr-FR" w:bidi="en-US"/>
        </w:rPr>
        <w:t xml:space="preserve"> réglementé par une loi spéciale. » Or, à ce jour</w:t>
      </w:r>
      <w:r w:rsidR="00470A47" w:rsidRPr="00844541">
        <w:rPr>
          <w:lang w:val="fr-FR" w:bidi="en-US"/>
        </w:rPr>
        <w:t>,</w:t>
      </w:r>
      <w:r w:rsidRPr="00844541">
        <w:rPr>
          <w:lang w:val="fr-FR" w:bidi="en-US"/>
        </w:rPr>
        <w:t xml:space="preserve"> aucune loi n</w:t>
      </w:r>
      <w:r w:rsidR="00844541">
        <w:rPr>
          <w:lang w:val="fr-FR" w:bidi="en-US"/>
        </w:rPr>
        <w:t>’</w:t>
      </w:r>
      <w:r w:rsidRPr="00844541">
        <w:rPr>
          <w:lang w:val="fr-FR" w:bidi="en-US"/>
        </w:rPr>
        <w:t xml:space="preserve">a été adoptée à ce sujet. Par ailleurs, </w:t>
      </w:r>
      <w:r w:rsidR="0045637D" w:rsidRPr="00844541">
        <w:rPr>
          <w:lang w:val="fr-FR"/>
        </w:rPr>
        <w:t>la</w:t>
      </w:r>
      <w:r w:rsidRPr="00844541">
        <w:rPr>
          <w:lang w:val="fr-FR"/>
        </w:rPr>
        <w:t xml:space="preserve"> modification</w:t>
      </w:r>
      <w:r w:rsidR="0045637D" w:rsidRPr="00844541">
        <w:rPr>
          <w:lang w:val="fr-FR"/>
        </w:rPr>
        <w:t xml:space="preserve"> de l</w:t>
      </w:r>
      <w:r w:rsidR="00844541">
        <w:rPr>
          <w:lang w:val="fr-FR"/>
        </w:rPr>
        <w:t>’</w:t>
      </w:r>
      <w:r w:rsidR="0045637D" w:rsidRPr="00844541">
        <w:rPr>
          <w:lang w:val="fr-FR"/>
        </w:rPr>
        <w:t>OUG n</w:t>
      </w:r>
      <w:r w:rsidR="0045637D" w:rsidRPr="00844541">
        <w:rPr>
          <w:vertAlign w:val="superscript"/>
          <w:lang w:val="fr-FR"/>
        </w:rPr>
        <w:t>o</w:t>
      </w:r>
      <w:r w:rsidR="0045637D" w:rsidRPr="00844541">
        <w:rPr>
          <w:lang w:val="fr-FR"/>
        </w:rPr>
        <w:t> 94/2000</w:t>
      </w:r>
      <w:r w:rsidRPr="00844541">
        <w:rPr>
          <w:lang w:val="fr-FR"/>
        </w:rPr>
        <w:t xml:space="preserve"> ne renvoie pas aux dispositions du décret-loi n</w:t>
      </w:r>
      <w:r w:rsidRPr="00844541">
        <w:rPr>
          <w:vertAlign w:val="superscript"/>
          <w:lang w:val="fr-FR"/>
        </w:rPr>
        <w:t>o</w:t>
      </w:r>
      <w:r w:rsidRPr="00844541">
        <w:rPr>
          <w:lang w:val="fr-FR"/>
        </w:rPr>
        <w:t xml:space="preserve"> 126/1990 </w:t>
      </w:r>
      <w:r w:rsidR="0052316A" w:rsidRPr="00844541">
        <w:rPr>
          <w:lang w:val="fr-FR"/>
        </w:rPr>
        <w:t xml:space="preserve">qui mentionnait le critère de la </w:t>
      </w:r>
      <w:r w:rsidR="0052316A" w:rsidRPr="00844541">
        <w:rPr>
          <w:lang w:val="fr-FR"/>
        </w:rPr>
        <w:lastRenderedPageBreak/>
        <w:t>volonté de la majorité</w:t>
      </w:r>
      <w:r w:rsidR="00E14F77" w:rsidRPr="00844541">
        <w:rPr>
          <w:lang w:val="fr-FR"/>
        </w:rPr>
        <w:t xml:space="preserve"> des fidèles</w:t>
      </w:r>
      <w:r w:rsidR="0052316A" w:rsidRPr="00844541">
        <w:rPr>
          <w:lang w:val="fr-FR"/>
        </w:rPr>
        <w:t xml:space="preserve">, décret-loi </w:t>
      </w:r>
      <w:r w:rsidR="00A95FAC" w:rsidRPr="00844541">
        <w:rPr>
          <w:lang w:val="fr-FR"/>
        </w:rPr>
        <w:t xml:space="preserve">qui existait déjà lors de </w:t>
      </w:r>
      <w:r w:rsidR="006A1BF7" w:rsidRPr="00844541">
        <w:rPr>
          <w:lang w:val="fr-FR"/>
        </w:rPr>
        <w:t>l</w:t>
      </w:r>
      <w:r w:rsidR="00844541">
        <w:rPr>
          <w:lang w:val="fr-FR"/>
        </w:rPr>
        <w:t>’</w:t>
      </w:r>
      <w:r w:rsidR="006A1BF7" w:rsidRPr="00844541">
        <w:rPr>
          <w:lang w:val="fr-FR"/>
        </w:rPr>
        <w:t xml:space="preserve">adoption de </w:t>
      </w:r>
      <w:r w:rsidR="00E14F77" w:rsidRPr="00844541">
        <w:rPr>
          <w:lang w:val="fr-FR"/>
        </w:rPr>
        <w:t xml:space="preserve">la </w:t>
      </w:r>
      <w:r w:rsidR="00A95FAC" w:rsidRPr="00844541">
        <w:rPr>
          <w:lang w:val="fr-FR"/>
        </w:rPr>
        <w:t>modification</w:t>
      </w:r>
      <w:r w:rsidR="00E14F77" w:rsidRPr="00844541">
        <w:rPr>
          <w:lang w:val="fr-FR"/>
        </w:rPr>
        <w:t xml:space="preserve"> en question</w:t>
      </w:r>
      <w:r w:rsidRPr="00844541">
        <w:rPr>
          <w:lang w:val="fr-FR"/>
        </w:rPr>
        <w:t>.</w:t>
      </w:r>
    </w:p>
    <w:p w:rsidR="00B43D08" w:rsidRPr="00844541" w:rsidRDefault="001E3D46" w:rsidP="00844541">
      <w:pPr>
        <w:pStyle w:val="ECHRPara"/>
        <w:rPr>
          <w:lang w:val="fr-FR"/>
        </w:rPr>
      </w:pPr>
      <w:r w:rsidRPr="00844541">
        <w:rPr>
          <w:snapToGrid w:val="0"/>
          <w:szCs w:val="24"/>
        </w:rPr>
        <w:fldChar w:fldCharType="begin"/>
      </w:r>
      <w:r w:rsidRPr="00844541">
        <w:rPr>
          <w:snapToGrid w:val="0"/>
          <w:szCs w:val="24"/>
          <w:lang w:val="fr-FR"/>
        </w:rPr>
        <w:instrText xml:space="preserve"> SEQ level0 \*arabic </w:instrText>
      </w:r>
      <w:r w:rsidRPr="00844541">
        <w:rPr>
          <w:snapToGrid w:val="0"/>
          <w:szCs w:val="24"/>
        </w:rPr>
        <w:fldChar w:fldCharType="separate"/>
      </w:r>
      <w:r w:rsidR="00767866">
        <w:rPr>
          <w:noProof/>
          <w:snapToGrid w:val="0"/>
          <w:szCs w:val="24"/>
          <w:lang w:val="fr-FR"/>
        </w:rPr>
        <w:t>86</w:t>
      </w:r>
      <w:r w:rsidRPr="00844541">
        <w:rPr>
          <w:snapToGrid w:val="0"/>
          <w:szCs w:val="24"/>
        </w:rPr>
        <w:fldChar w:fldCharType="end"/>
      </w:r>
      <w:r w:rsidR="00063EC5" w:rsidRPr="00844541">
        <w:rPr>
          <w:snapToGrid w:val="0"/>
          <w:szCs w:val="24"/>
          <w:lang w:val="fr-FR"/>
        </w:rPr>
        <w:t>.  Il en ressort</w:t>
      </w:r>
      <w:r w:rsidRPr="00844541">
        <w:rPr>
          <w:snapToGrid w:val="0"/>
          <w:szCs w:val="24"/>
          <w:lang w:val="fr-FR"/>
        </w:rPr>
        <w:t xml:space="preserve"> que</w:t>
      </w:r>
      <w:r w:rsidR="00470A47" w:rsidRPr="00844541">
        <w:rPr>
          <w:snapToGrid w:val="0"/>
          <w:szCs w:val="24"/>
          <w:lang w:val="fr-FR"/>
        </w:rPr>
        <w:t>,</w:t>
      </w:r>
      <w:r w:rsidRPr="00844541">
        <w:rPr>
          <w:snapToGrid w:val="0"/>
          <w:szCs w:val="24"/>
          <w:lang w:val="fr-FR"/>
        </w:rPr>
        <w:t xml:space="preserve"> dans les procédures judiciaires</w:t>
      </w:r>
      <w:r w:rsidR="00430B87" w:rsidRPr="00844541">
        <w:rPr>
          <w:snapToGrid w:val="0"/>
          <w:szCs w:val="24"/>
          <w:lang w:val="fr-FR"/>
        </w:rPr>
        <w:t xml:space="preserve"> telles que </w:t>
      </w:r>
      <w:r w:rsidRPr="00844541">
        <w:rPr>
          <w:snapToGrid w:val="0"/>
          <w:szCs w:val="24"/>
          <w:lang w:val="fr-FR"/>
        </w:rPr>
        <w:t>l</w:t>
      </w:r>
      <w:r w:rsidR="00844541">
        <w:rPr>
          <w:snapToGrid w:val="0"/>
          <w:szCs w:val="24"/>
          <w:lang w:val="fr-FR"/>
        </w:rPr>
        <w:t>’</w:t>
      </w:r>
      <w:r w:rsidRPr="00844541">
        <w:rPr>
          <w:snapToGrid w:val="0"/>
          <w:szCs w:val="24"/>
          <w:lang w:val="fr-FR"/>
        </w:rPr>
        <w:t xml:space="preserve">action en revendication </w:t>
      </w:r>
      <w:r w:rsidR="001F0334" w:rsidRPr="00844541">
        <w:rPr>
          <w:snapToGrid w:val="0"/>
          <w:szCs w:val="24"/>
          <w:lang w:val="fr-FR"/>
        </w:rPr>
        <w:t xml:space="preserve">en </w:t>
      </w:r>
      <w:r w:rsidR="00BF23A1" w:rsidRPr="00844541">
        <w:rPr>
          <w:snapToGrid w:val="0"/>
          <w:szCs w:val="24"/>
          <w:lang w:val="fr-FR"/>
        </w:rPr>
        <w:t>cause</w:t>
      </w:r>
      <w:r w:rsidR="0060197E" w:rsidRPr="00844541">
        <w:rPr>
          <w:snapToGrid w:val="0"/>
          <w:szCs w:val="24"/>
          <w:lang w:val="fr-FR"/>
        </w:rPr>
        <w:t>,</w:t>
      </w:r>
      <w:r w:rsidR="004C79DD" w:rsidRPr="00844541">
        <w:rPr>
          <w:snapToGrid w:val="0"/>
          <w:szCs w:val="24"/>
          <w:lang w:val="fr-FR"/>
        </w:rPr>
        <w:t xml:space="preserve"> les juridictions ont été</w:t>
      </w:r>
      <w:r w:rsidRPr="00844541">
        <w:rPr>
          <w:snapToGrid w:val="0"/>
          <w:szCs w:val="24"/>
          <w:lang w:val="fr-FR"/>
        </w:rPr>
        <w:t xml:space="preserve"> appelées à trancher les litiges alors qu</w:t>
      </w:r>
      <w:r w:rsidR="00844541">
        <w:rPr>
          <w:snapToGrid w:val="0"/>
          <w:szCs w:val="24"/>
          <w:lang w:val="fr-FR"/>
        </w:rPr>
        <w:t>’</w:t>
      </w:r>
      <w:r w:rsidRPr="00844541">
        <w:rPr>
          <w:snapToGrid w:val="0"/>
          <w:szCs w:val="24"/>
          <w:lang w:val="fr-FR"/>
        </w:rPr>
        <w:t>elles ne disposaient pas d</w:t>
      </w:r>
      <w:r w:rsidR="00844541">
        <w:rPr>
          <w:snapToGrid w:val="0"/>
          <w:szCs w:val="24"/>
          <w:lang w:val="fr-FR"/>
        </w:rPr>
        <w:t>’</w:t>
      </w:r>
      <w:r w:rsidRPr="00844541">
        <w:rPr>
          <w:snapToGrid w:val="0"/>
          <w:szCs w:val="24"/>
          <w:lang w:val="fr-FR"/>
        </w:rPr>
        <w:t xml:space="preserve">un cadre législatif suffisamment </w:t>
      </w:r>
      <w:r w:rsidR="0060197E" w:rsidRPr="00844541">
        <w:rPr>
          <w:snapToGrid w:val="0"/>
          <w:szCs w:val="24"/>
          <w:lang w:val="fr-FR"/>
        </w:rPr>
        <w:t xml:space="preserve">clair et </w:t>
      </w:r>
      <w:r w:rsidRPr="00844541">
        <w:rPr>
          <w:snapToGrid w:val="0"/>
          <w:szCs w:val="24"/>
          <w:lang w:val="fr-FR"/>
        </w:rPr>
        <w:t xml:space="preserve">prévisible. </w:t>
      </w:r>
      <w:r w:rsidR="00857270" w:rsidRPr="00844541">
        <w:rPr>
          <w:snapToGrid w:val="0"/>
          <w:szCs w:val="24"/>
          <w:lang w:val="fr-FR"/>
        </w:rPr>
        <w:t>C</w:t>
      </w:r>
      <w:r w:rsidRPr="00844541">
        <w:rPr>
          <w:snapToGrid w:val="0"/>
          <w:szCs w:val="24"/>
          <w:lang w:val="fr-FR"/>
        </w:rPr>
        <w:t xml:space="preserve">ela a </w:t>
      </w:r>
      <w:r w:rsidR="00430B87" w:rsidRPr="00844541">
        <w:rPr>
          <w:snapToGrid w:val="0"/>
          <w:szCs w:val="24"/>
          <w:lang w:val="fr-FR"/>
        </w:rPr>
        <w:t>eu pour conséquence que</w:t>
      </w:r>
      <w:r w:rsidRPr="00844541">
        <w:rPr>
          <w:snapToGrid w:val="0"/>
          <w:szCs w:val="24"/>
          <w:lang w:val="fr-FR"/>
        </w:rPr>
        <w:t xml:space="preserve"> </w:t>
      </w:r>
      <w:r w:rsidR="00430B87" w:rsidRPr="00844541">
        <w:rPr>
          <w:snapToGrid w:val="0"/>
          <w:szCs w:val="24"/>
          <w:lang w:val="fr-FR"/>
        </w:rPr>
        <w:t xml:space="preserve">différents tribunaux nationaux sont parvenus à </w:t>
      </w:r>
      <w:r w:rsidR="00E31662" w:rsidRPr="00844541">
        <w:rPr>
          <w:snapToGrid w:val="0"/>
          <w:szCs w:val="24"/>
          <w:lang w:val="fr-FR"/>
        </w:rPr>
        <w:t xml:space="preserve">des </w:t>
      </w:r>
      <w:r w:rsidRPr="00844541">
        <w:rPr>
          <w:snapToGrid w:val="0"/>
          <w:szCs w:val="24"/>
          <w:lang w:val="fr-FR"/>
        </w:rPr>
        <w:t xml:space="preserve">conclusions juridiques </w:t>
      </w:r>
      <w:r w:rsidR="00E31662" w:rsidRPr="00844541">
        <w:rPr>
          <w:snapToGrid w:val="0"/>
          <w:szCs w:val="24"/>
          <w:lang w:val="fr-FR"/>
        </w:rPr>
        <w:t xml:space="preserve">différentes </w:t>
      </w:r>
      <w:r w:rsidRPr="00844541">
        <w:rPr>
          <w:snapToGrid w:val="0"/>
          <w:szCs w:val="24"/>
          <w:lang w:val="fr-FR"/>
        </w:rPr>
        <w:t>sur la même question de droit</w:t>
      </w:r>
      <w:r w:rsidR="00430B87" w:rsidRPr="00844541">
        <w:rPr>
          <w:snapToGrid w:val="0"/>
          <w:szCs w:val="24"/>
          <w:lang w:val="fr-FR"/>
        </w:rPr>
        <w:t xml:space="preserve"> qui avait été portée devant eux</w:t>
      </w:r>
      <w:r w:rsidRPr="00844541">
        <w:rPr>
          <w:snapToGrid w:val="0"/>
          <w:szCs w:val="24"/>
          <w:lang w:val="fr-FR"/>
        </w:rPr>
        <w:t>.</w:t>
      </w:r>
      <w:r w:rsidRPr="00844541">
        <w:rPr>
          <w:lang w:val="fr-FR"/>
        </w:rPr>
        <w:t xml:space="preserve"> </w:t>
      </w:r>
      <w:r w:rsidR="004C79DD" w:rsidRPr="00844541">
        <w:rPr>
          <w:lang w:val="fr-FR"/>
        </w:rPr>
        <w:t>En effet, les juridictions internes</w:t>
      </w:r>
      <w:r w:rsidR="00A633B1" w:rsidRPr="00844541">
        <w:rPr>
          <w:lang w:val="fr-FR"/>
        </w:rPr>
        <w:t>, y compris la Haute Cour</w:t>
      </w:r>
      <w:r w:rsidR="00BE37D6" w:rsidRPr="00844541">
        <w:rPr>
          <w:lang w:val="fr-FR"/>
        </w:rPr>
        <w:t>,</w:t>
      </w:r>
      <w:r w:rsidR="004C79DD" w:rsidRPr="00844541">
        <w:rPr>
          <w:lang w:val="fr-FR"/>
        </w:rPr>
        <w:t xml:space="preserve"> saisies </w:t>
      </w:r>
      <w:r w:rsidR="00BE37D6" w:rsidRPr="00844541">
        <w:rPr>
          <w:lang w:val="fr-FR"/>
        </w:rPr>
        <w:t>d</w:t>
      </w:r>
      <w:r w:rsidR="00844541">
        <w:rPr>
          <w:lang w:val="fr-FR"/>
        </w:rPr>
        <w:t>’</w:t>
      </w:r>
      <w:r w:rsidR="00BE37D6" w:rsidRPr="00844541">
        <w:rPr>
          <w:lang w:val="fr-FR"/>
        </w:rPr>
        <w:t xml:space="preserve">une action en revendication fondée sur </w:t>
      </w:r>
      <w:r w:rsidR="003409A6" w:rsidRPr="00844541">
        <w:rPr>
          <w:lang w:val="fr-FR"/>
        </w:rPr>
        <w:t>l</w:t>
      </w:r>
      <w:r w:rsidR="00844541">
        <w:rPr>
          <w:lang w:val="fr-FR"/>
        </w:rPr>
        <w:t>’</w:t>
      </w:r>
      <w:r w:rsidR="003409A6" w:rsidRPr="00844541">
        <w:rPr>
          <w:lang w:val="fr-FR"/>
        </w:rPr>
        <w:t>article 480 du code civil</w:t>
      </w:r>
      <w:r w:rsidR="004C79DD" w:rsidRPr="00844541">
        <w:rPr>
          <w:lang w:val="fr-FR"/>
        </w:rPr>
        <w:t xml:space="preserve"> ont interprété cette notion de deux manières : certaines juridictions ont considéré qu</w:t>
      </w:r>
      <w:r w:rsidR="00844541">
        <w:rPr>
          <w:lang w:val="fr-FR"/>
        </w:rPr>
        <w:t>’</w:t>
      </w:r>
      <w:r w:rsidR="004C79DD" w:rsidRPr="00844541">
        <w:rPr>
          <w:lang w:val="fr-FR"/>
        </w:rPr>
        <w:t xml:space="preserve">elles devaient </w:t>
      </w:r>
      <w:r w:rsidR="00E31662" w:rsidRPr="00844541">
        <w:rPr>
          <w:lang w:val="fr-FR"/>
        </w:rPr>
        <w:t>examiner</w:t>
      </w:r>
      <w:r w:rsidR="004C79DD" w:rsidRPr="00844541">
        <w:rPr>
          <w:lang w:val="fr-FR"/>
        </w:rPr>
        <w:t xml:space="preserve"> l</w:t>
      </w:r>
      <w:r w:rsidR="00844541">
        <w:rPr>
          <w:lang w:val="fr-FR"/>
        </w:rPr>
        <w:t>’</w:t>
      </w:r>
      <w:r w:rsidR="004C79DD" w:rsidRPr="00844541">
        <w:rPr>
          <w:lang w:val="fr-FR"/>
        </w:rPr>
        <w:t xml:space="preserve">action en revendication </w:t>
      </w:r>
      <w:r w:rsidR="00E31662" w:rsidRPr="00844541">
        <w:rPr>
          <w:lang w:val="fr-FR"/>
        </w:rPr>
        <w:t xml:space="preserve">de manière classique en </w:t>
      </w:r>
      <w:r w:rsidR="004C79DD" w:rsidRPr="00844541">
        <w:rPr>
          <w:lang w:val="fr-FR"/>
        </w:rPr>
        <w:t>compa</w:t>
      </w:r>
      <w:r w:rsidR="00E31662" w:rsidRPr="00844541">
        <w:rPr>
          <w:lang w:val="fr-FR"/>
        </w:rPr>
        <w:t>rant l</w:t>
      </w:r>
      <w:r w:rsidR="004C79DD" w:rsidRPr="00844541">
        <w:rPr>
          <w:lang w:val="fr-FR"/>
        </w:rPr>
        <w:t>es titres de propriété (paragraphes</w:t>
      </w:r>
      <w:r w:rsidR="003B04DB" w:rsidRPr="00844541">
        <w:rPr>
          <w:lang w:val="fr-FR"/>
        </w:rPr>
        <w:t xml:space="preserve"> 4</w:t>
      </w:r>
      <w:r w:rsidR="00BE37D6" w:rsidRPr="00844541">
        <w:rPr>
          <w:lang w:val="fr-FR"/>
        </w:rPr>
        <w:t>9</w:t>
      </w:r>
      <w:r w:rsidR="003B04DB" w:rsidRPr="00844541">
        <w:rPr>
          <w:lang w:val="fr-FR"/>
        </w:rPr>
        <w:t xml:space="preserve"> </w:t>
      </w:r>
      <w:r w:rsidR="004C79DD" w:rsidRPr="00844541">
        <w:rPr>
          <w:lang w:val="fr-FR"/>
        </w:rPr>
        <w:t>ci-dessus)</w:t>
      </w:r>
      <w:r w:rsidR="00B02633" w:rsidRPr="00844541">
        <w:rPr>
          <w:lang w:val="fr-FR"/>
        </w:rPr>
        <w:t> ;</w:t>
      </w:r>
      <w:r w:rsidR="004C79DD" w:rsidRPr="00844541">
        <w:rPr>
          <w:lang w:val="fr-FR"/>
        </w:rPr>
        <w:t xml:space="preserve"> d</w:t>
      </w:r>
      <w:r w:rsidR="00844541">
        <w:rPr>
          <w:lang w:val="fr-FR"/>
        </w:rPr>
        <w:t>’</w:t>
      </w:r>
      <w:r w:rsidR="004C79DD" w:rsidRPr="00844541">
        <w:rPr>
          <w:lang w:val="fr-FR"/>
        </w:rPr>
        <w:t>autres, comme en l</w:t>
      </w:r>
      <w:r w:rsidR="00844541">
        <w:rPr>
          <w:lang w:val="fr-FR"/>
        </w:rPr>
        <w:t>’</w:t>
      </w:r>
      <w:r w:rsidR="004C79DD" w:rsidRPr="00844541">
        <w:rPr>
          <w:lang w:val="fr-FR"/>
        </w:rPr>
        <w:t xml:space="preserve">espèce, </w:t>
      </w:r>
      <w:r w:rsidR="00B02633" w:rsidRPr="00844541">
        <w:rPr>
          <w:lang w:val="fr-FR"/>
        </w:rPr>
        <w:t xml:space="preserve">ont jugé </w:t>
      </w:r>
      <w:r w:rsidR="004C79DD" w:rsidRPr="00844541">
        <w:rPr>
          <w:lang w:val="fr-FR"/>
        </w:rPr>
        <w:t>qu</w:t>
      </w:r>
      <w:r w:rsidR="00844541">
        <w:rPr>
          <w:lang w:val="fr-FR"/>
        </w:rPr>
        <w:t>’</w:t>
      </w:r>
      <w:r w:rsidR="004C79DD" w:rsidRPr="00844541">
        <w:rPr>
          <w:lang w:val="fr-FR"/>
        </w:rPr>
        <w:t>elles devaient trancher l</w:t>
      </w:r>
      <w:r w:rsidR="00844541">
        <w:rPr>
          <w:lang w:val="fr-FR"/>
        </w:rPr>
        <w:t>’</w:t>
      </w:r>
      <w:r w:rsidR="004C79DD" w:rsidRPr="00844541">
        <w:rPr>
          <w:lang w:val="fr-FR"/>
        </w:rPr>
        <w:t>action en revendication en appliquant le critère établi par le décret-loi n</w:t>
      </w:r>
      <w:r w:rsidR="004C79DD" w:rsidRPr="00844541">
        <w:rPr>
          <w:vertAlign w:val="superscript"/>
          <w:lang w:val="fr-FR"/>
        </w:rPr>
        <w:t>o</w:t>
      </w:r>
      <w:r w:rsidR="004C79DD" w:rsidRPr="00844541">
        <w:rPr>
          <w:lang w:val="fr-FR"/>
        </w:rPr>
        <w:t xml:space="preserve"> 126/1990 </w:t>
      </w:r>
      <w:r w:rsidR="00113320" w:rsidRPr="00844541">
        <w:rPr>
          <w:lang w:val="fr-FR"/>
        </w:rPr>
        <w:t>(paragraphe</w:t>
      </w:r>
      <w:r w:rsidR="004C79DD" w:rsidRPr="00844541">
        <w:rPr>
          <w:lang w:val="fr-FR"/>
        </w:rPr>
        <w:t xml:space="preserve"> </w:t>
      </w:r>
      <w:r w:rsidR="004C79DD" w:rsidRPr="00844541">
        <w:fldChar w:fldCharType="begin"/>
      </w:r>
      <w:r w:rsidR="004C79DD" w:rsidRPr="00844541">
        <w:rPr>
          <w:lang w:val="fr-FR"/>
        </w:rPr>
        <w:instrText xml:space="preserve"> REF P47 \h </w:instrText>
      </w:r>
      <w:r w:rsidR="008022AE" w:rsidRPr="00844541">
        <w:rPr>
          <w:lang w:val="fr-FR"/>
        </w:rPr>
        <w:instrText xml:space="preserve"> \* MERGEFORMAT </w:instrText>
      </w:r>
      <w:r w:rsidR="004C79DD" w:rsidRPr="00844541">
        <w:fldChar w:fldCharType="separate"/>
      </w:r>
      <w:r w:rsidR="00767866">
        <w:rPr>
          <w:noProof/>
          <w:lang w:val="fr-FR"/>
        </w:rPr>
        <w:t>48</w:t>
      </w:r>
      <w:r w:rsidR="004C79DD" w:rsidRPr="00844541">
        <w:fldChar w:fldCharType="end"/>
      </w:r>
      <w:bookmarkStart w:id="20" w:name="P51"/>
      <w:bookmarkEnd w:id="20"/>
      <w:r w:rsidR="00113320" w:rsidRPr="00844541">
        <w:rPr>
          <w:lang w:val="fr-FR"/>
        </w:rPr>
        <w:t xml:space="preserve"> </w:t>
      </w:r>
      <w:r w:rsidR="004C79DD" w:rsidRPr="00844541">
        <w:rPr>
          <w:lang w:val="fr-FR"/>
        </w:rPr>
        <w:t>ci-dessus).</w:t>
      </w:r>
    </w:p>
    <w:p w:rsidR="006B5E37" w:rsidRPr="00844541" w:rsidRDefault="00D01A28" w:rsidP="00844541">
      <w:pPr>
        <w:pStyle w:val="ECHRPara"/>
        <w:rPr>
          <w:i/>
          <w:szCs w:val="24"/>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87</w:t>
      </w:r>
      <w:r w:rsidRPr="00844541">
        <w:rPr>
          <w:noProof/>
        </w:rPr>
        <w:fldChar w:fldCharType="end"/>
      </w:r>
      <w:r w:rsidR="00165455" w:rsidRPr="00844541">
        <w:rPr>
          <w:lang w:val="fr-FR"/>
        </w:rPr>
        <w:t>.  </w:t>
      </w:r>
      <w:r w:rsidR="00907A1A" w:rsidRPr="00844541">
        <w:rPr>
          <w:lang w:val="fr-FR"/>
        </w:rPr>
        <w:t>L</w:t>
      </w:r>
      <w:r w:rsidR="0013196D" w:rsidRPr="00844541">
        <w:rPr>
          <w:lang w:val="fr-FR"/>
        </w:rPr>
        <w:t xml:space="preserve">a Cour </w:t>
      </w:r>
      <w:r w:rsidR="006B5E37" w:rsidRPr="00844541">
        <w:rPr>
          <w:lang w:val="fr-FR"/>
        </w:rPr>
        <w:t>rappelle que l</w:t>
      </w:r>
      <w:r w:rsidR="00844541">
        <w:rPr>
          <w:lang w:val="fr-FR"/>
        </w:rPr>
        <w:t>’</w:t>
      </w:r>
      <w:r w:rsidR="006B5E37" w:rsidRPr="00844541">
        <w:rPr>
          <w:lang w:val="fr-FR"/>
        </w:rPr>
        <w:t>élaboration d</w:t>
      </w:r>
      <w:r w:rsidR="00844541">
        <w:rPr>
          <w:lang w:val="fr-FR"/>
        </w:rPr>
        <w:t>’</w:t>
      </w:r>
      <w:r w:rsidR="006B5E37" w:rsidRPr="00844541">
        <w:rPr>
          <w:lang w:val="fr-FR"/>
        </w:rPr>
        <w:t>un consensus jurisprudentiel est un processus qui peut s</w:t>
      </w:r>
      <w:r w:rsidR="00844541">
        <w:rPr>
          <w:lang w:val="fr-FR"/>
        </w:rPr>
        <w:t>’</w:t>
      </w:r>
      <w:r w:rsidR="006B5E37" w:rsidRPr="00844541">
        <w:rPr>
          <w:lang w:val="fr-FR"/>
        </w:rPr>
        <w:t>inscrire dans la durée</w:t>
      </w:r>
      <w:r w:rsidR="00470A47" w:rsidRPr="00844541">
        <w:rPr>
          <w:lang w:val="fr-FR"/>
        </w:rPr>
        <w:t> :</w:t>
      </w:r>
      <w:r w:rsidR="006B5E37" w:rsidRPr="00844541">
        <w:rPr>
          <w:lang w:val="fr-FR"/>
        </w:rPr>
        <w:t xml:space="preserve"> des phases de divergence de jurisprudence peuvent dès lors être tolérées sans qu</w:t>
      </w:r>
      <w:r w:rsidR="00844541">
        <w:rPr>
          <w:lang w:val="fr-FR"/>
        </w:rPr>
        <w:t>’</w:t>
      </w:r>
      <w:r w:rsidR="006B5E37" w:rsidRPr="00844541">
        <w:rPr>
          <w:lang w:val="fr-FR"/>
        </w:rPr>
        <w:t>il y ait pour autant remise en cause de la sécurité juridique (</w:t>
      </w:r>
      <w:r w:rsidR="006B5E37" w:rsidRPr="00844541">
        <w:rPr>
          <w:i/>
          <w:lang w:val="fr-FR"/>
        </w:rPr>
        <w:t>Nejdet Şahin et Perihan Şahin</w:t>
      </w:r>
      <w:r w:rsidR="00BF23A1" w:rsidRPr="00844541">
        <w:rPr>
          <w:i/>
          <w:lang w:val="fr-FR"/>
        </w:rPr>
        <w:t>,</w:t>
      </w:r>
      <w:r w:rsidR="006B5E37" w:rsidRPr="00844541">
        <w:rPr>
          <w:lang w:val="fr-FR"/>
        </w:rPr>
        <w:t xml:space="preserve"> </w:t>
      </w:r>
      <w:r w:rsidR="00BF23A1" w:rsidRPr="00844541">
        <w:rPr>
          <w:lang w:val="fr-FR"/>
        </w:rPr>
        <w:t>p</w:t>
      </w:r>
      <w:r w:rsidR="006B5E37" w:rsidRPr="00844541">
        <w:rPr>
          <w:lang w:val="fr-FR"/>
        </w:rPr>
        <w:t>récité, § 83).</w:t>
      </w:r>
      <w:r w:rsidR="00857270" w:rsidRPr="00844541">
        <w:rPr>
          <w:lang w:val="fr-FR"/>
        </w:rPr>
        <w:t xml:space="preserve"> </w:t>
      </w:r>
      <w:r w:rsidR="006B5E37" w:rsidRPr="00844541">
        <w:rPr>
          <w:lang w:val="fr-FR"/>
        </w:rPr>
        <w:t>En effet, la jurisprudence n</w:t>
      </w:r>
      <w:r w:rsidR="00844541">
        <w:rPr>
          <w:lang w:val="fr-FR"/>
        </w:rPr>
        <w:t>’</w:t>
      </w:r>
      <w:r w:rsidR="006B5E37" w:rsidRPr="00844541">
        <w:rPr>
          <w:lang w:val="fr-FR"/>
        </w:rPr>
        <w:t>étant pas immuable mais au contraire évolutive par essence, le principe d</w:t>
      </w:r>
      <w:r w:rsidR="00844541">
        <w:rPr>
          <w:lang w:val="fr-FR"/>
        </w:rPr>
        <w:t>’</w:t>
      </w:r>
      <w:r w:rsidR="006B5E37" w:rsidRPr="00844541">
        <w:rPr>
          <w:lang w:val="fr-FR"/>
        </w:rPr>
        <w:t>une bonne administration de la justice ne saurait s</w:t>
      </w:r>
      <w:r w:rsidR="00844541">
        <w:rPr>
          <w:lang w:val="fr-FR"/>
        </w:rPr>
        <w:t>’</w:t>
      </w:r>
      <w:r w:rsidR="006B5E37" w:rsidRPr="00844541">
        <w:rPr>
          <w:lang w:val="fr-FR"/>
        </w:rPr>
        <w:t>entendre comme imposant une exigence stricte de constance jurisprudentielle (</w:t>
      </w:r>
      <w:r w:rsidR="00910D35" w:rsidRPr="00844541">
        <w:rPr>
          <w:i/>
          <w:lang w:val="fr-FR"/>
        </w:rPr>
        <w:t>Unédic c. France</w:t>
      </w:r>
      <w:r w:rsidR="00910D35" w:rsidRPr="00844541">
        <w:rPr>
          <w:lang w:val="fr-FR"/>
        </w:rPr>
        <w:t>, n</w:t>
      </w:r>
      <w:r w:rsidR="00910D35" w:rsidRPr="00844541">
        <w:rPr>
          <w:vertAlign w:val="superscript"/>
          <w:lang w:val="fr-FR"/>
        </w:rPr>
        <w:t>o</w:t>
      </w:r>
      <w:r w:rsidR="00903E44" w:rsidRPr="00844541">
        <w:rPr>
          <w:lang w:val="fr-FR"/>
        </w:rPr>
        <w:t> </w:t>
      </w:r>
      <w:r w:rsidR="00910D35" w:rsidRPr="00844541">
        <w:rPr>
          <w:lang w:val="fr-FR"/>
        </w:rPr>
        <w:t xml:space="preserve">20153/04, § 73, </w:t>
      </w:r>
      <w:r w:rsidR="005977C5" w:rsidRPr="00844541">
        <w:rPr>
          <w:lang w:val="fr-FR"/>
        </w:rPr>
        <w:t>18 </w:t>
      </w:r>
      <w:r w:rsidR="00910D35" w:rsidRPr="00844541">
        <w:rPr>
          <w:lang w:val="fr-FR"/>
        </w:rPr>
        <w:t>décembre 2008</w:t>
      </w:r>
      <w:r w:rsidR="00470A47" w:rsidRPr="00844541">
        <w:rPr>
          <w:lang w:val="fr-FR"/>
        </w:rPr>
        <w:t>,</w:t>
      </w:r>
      <w:r w:rsidR="006B5E37" w:rsidRPr="00844541">
        <w:rPr>
          <w:lang w:val="fr-FR"/>
        </w:rPr>
        <w:t xml:space="preserve"> et </w:t>
      </w:r>
      <w:r w:rsidR="00910D35" w:rsidRPr="00844541">
        <w:rPr>
          <w:i/>
          <w:lang w:val="fr-FR"/>
        </w:rPr>
        <w:t>Atanasovski c. l</w:t>
      </w:r>
      <w:r w:rsidR="00844541">
        <w:rPr>
          <w:i/>
          <w:lang w:val="fr-FR"/>
        </w:rPr>
        <w:t>’</w:t>
      </w:r>
      <w:r w:rsidR="00910D35" w:rsidRPr="00844541">
        <w:rPr>
          <w:i/>
          <w:lang w:val="fr-FR"/>
        </w:rPr>
        <w:t>ex-République yougoslave de Macédoine</w:t>
      </w:r>
      <w:r w:rsidR="00910D35" w:rsidRPr="00844541">
        <w:rPr>
          <w:lang w:val="fr-FR"/>
        </w:rPr>
        <w:t>, n</w:t>
      </w:r>
      <w:r w:rsidR="00910D35" w:rsidRPr="00844541">
        <w:rPr>
          <w:vertAlign w:val="superscript"/>
          <w:lang w:val="fr-FR"/>
        </w:rPr>
        <w:t>o</w:t>
      </w:r>
      <w:r w:rsidR="00910D35" w:rsidRPr="00844541">
        <w:rPr>
          <w:lang w:val="fr-FR"/>
        </w:rPr>
        <w:t xml:space="preserve"> 36815/03</w:t>
      </w:r>
      <w:r w:rsidR="00910D35" w:rsidRPr="00844541">
        <w:rPr>
          <w:snapToGrid w:val="0"/>
          <w:lang w:val="fr-FR"/>
        </w:rPr>
        <w:t xml:space="preserve">, § 38, 14 </w:t>
      </w:r>
      <w:r w:rsidR="00910D35" w:rsidRPr="00844541">
        <w:rPr>
          <w:lang w:val="fr-FR"/>
        </w:rPr>
        <w:t>janvier</w:t>
      </w:r>
      <w:r w:rsidR="00910D35" w:rsidRPr="00844541">
        <w:rPr>
          <w:snapToGrid w:val="0"/>
          <w:lang w:val="fr-FR"/>
        </w:rPr>
        <w:t xml:space="preserve"> 2010</w:t>
      </w:r>
      <w:r w:rsidR="00EB3FA6" w:rsidRPr="00844541">
        <w:rPr>
          <w:lang w:val="fr-FR"/>
        </w:rPr>
        <w:t>).</w:t>
      </w:r>
    </w:p>
    <w:p w:rsidR="003F49DD"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88</w:t>
      </w:r>
      <w:r w:rsidRPr="00844541">
        <w:rPr>
          <w:noProof/>
        </w:rPr>
        <w:fldChar w:fldCharType="end"/>
      </w:r>
      <w:r w:rsidR="008627BB" w:rsidRPr="00844541">
        <w:rPr>
          <w:lang w:val="fr-FR"/>
        </w:rPr>
        <w:t>.  </w:t>
      </w:r>
      <w:r w:rsidR="00DA48BA" w:rsidRPr="00844541">
        <w:rPr>
          <w:lang w:val="fr-FR"/>
        </w:rPr>
        <w:t xml:space="preserve">Cette divergence peut en outre être tolérée dès lors que </w:t>
      </w:r>
      <w:r w:rsidR="00F54301" w:rsidRPr="00844541">
        <w:rPr>
          <w:lang w:val="fr-FR"/>
        </w:rPr>
        <w:t>l</w:t>
      </w:r>
      <w:r w:rsidR="00844541">
        <w:rPr>
          <w:lang w:val="fr-FR"/>
        </w:rPr>
        <w:t>’</w:t>
      </w:r>
      <w:r w:rsidR="00F54301" w:rsidRPr="00844541">
        <w:rPr>
          <w:lang w:val="fr-FR"/>
        </w:rPr>
        <w:t>ordre</w:t>
      </w:r>
      <w:r w:rsidR="00DA48BA" w:rsidRPr="00844541">
        <w:rPr>
          <w:lang w:val="fr-FR"/>
        </w:rPr>
        <w:t xml:space="preserve"> juridique interne offre la capacité de l</w:t>
      </w:r>
      <w:r w:rsidR="00871DE7" w:rsidRPr="00844541">
        <w:rPr>
          <w:lang w:val="fr-FR"/>
        </w:rPr>
        <w:t>a</w:t>
      </w:r>
      <w:r w:rsidR="00DA48BA" w:rsidRPr="00844541">
        <w:rPr>
          <w:lang w:val="fr-FR"/>
        </w:rPr>
        <w:t xml:space="preserve"> résorber. </w:t>
      </w:r>
      <w:r w:rsidR="00AE1EFF" w:rsidRPr="00844541">
        <w:rPr>
          <w:lang w:val="fr-FR"/>
        </w:rPr>
        <w:t>E</w:t>
      </w:r>
      <w:r w:rsidR="00DA48BA" w:rsidRPr="00844541">
        <w:rPr>
          <w:lang w:val="fr-FR"/>
        </w:rPr>
        <w:t>n l</w:t>
      </w:r>
      <w:r w:rsidR="00844541">
        <w:rPr>
          <w:lang w:val="fr-FR"/>
        </w:rPr>
        <w:t>’</w:t>
      </w:r>
      <w:r w:rsidR="00F54301" w:rsidRPr="00844541">
        <w:rPr>
          <w:lang w:val="fr-FR"/>
        </w:rPr>
        <w:t>espèce</w:t>
      </w:r>
      <w:r w:rsidR="00DA48BA" w:rsidRPr="00844541">
        <w:rPr>
          <w:lang w:val="fr-FR"/>
        </w:rPr>
        <w:t>,</w:t>
      </w:r>
      <w:r w:rsidR="008F0AC3" w:rsidRPr="00844541">
        <w:rPr>
          <w:lang w:val="fr-FR"/>
        </w:rPr>
        <w:t xml:space="preserve"> </w:t>
      </w:r>
      <w:r w:rsidR="007B3AC7" w:rsidRPr="00844541">
        <w:rPr>
          <w:lang w:val="fr-FR"/>
        </w:rPr>
        <w:t>bien que le mécanisme d</w:t>
      </w:r>
      <w:r w:rsidR="00871DE7" w:rsidRPr="00844541">
        <w:rPr>
          <w:lang w:val="fr-FR"/>
        </w:rPr>
        <w:t>e</w:t>
      </w:r>
      <w:r w:rsidR="007B3AC7" w:rsidRPr="00844541">
        <w:rPr>
          <w:lang w:val="fr-FR"/>
        </w:rPr>
        <w:t xml:space="preserve"> recours dans l</w:t>
      </w:r>
      <w:r w:rsidR="00844541">
        <w:rPr>
          <w:lang w:val="fr-FR"/>
        </w:rPr>
        <w:t>’</w:t>
      </w:r>
      <w:r w:rsidR="007B3AC7" w:rsidRPr="00844541">
        <w:rPr>
          <w:lang w:val="fr-FR"/>
        </w:rPr>
        <w:t>intérêt de la loi n</w:t>
      </w:r>
      <w:r w:rsidR="00844541">
        <w:rPr>
          <w:lang w:val="fr-FR"/>
        </w:rPr>
        <w:t>’</w:t>
      </w:r>
      <w:r w:rsidR="007B3AC7" w:rsidRPr="00844541">
        <w:rPr>
          <w:lang w:val="fr-FR"/>
        </w:rPr>
        <w:t>a</w:t>
      </w:r>
      <w:r w:rsidR="00AE1EFF" w:rsidRPr="00844541">
        <w:rPr>
          <w:lang w:val="fr-FR"/>
        </w:rPr>
        <w:t>it</w:t>
      </w:r>
      <w:r w:rsidR="007B3AC7" w:rsidRPr="00844541">
        <w:rPr>
          <w:lang w:val="fr-FR"/>
        </w:rPr>
        <w:t xml:space="preserve"> pas été utilisé (paragraphe </w:t>
      </w:r>
      <w:r w:rsidR="00871DE7" w:rsidRPr="00844541">
        <w:rPr>
          <w:lang w:val="fr-FR"/>
        </w:rPr>
        <w:t xml:space="preserve">52 </w:t>
      </w:r>
      <w:r w:rsidR="007B3AC7" w:rsidRPr="00844541">
        <w:rPr>
          <w:lang w:val="fr-FR"/>
        </w:rPr>
        <w:t xml:space="preserve">ci-dessus), </w:t>
      </w:r>
      <w:r w:rsidR="00DD3CED" w:rsidRPr="00844541">
        <w:rPr>
          <w:lang w:val="fr-FR"/>
        </w:rPr>
        <w:t>les plus hautes juridictions du pays, à savoir la Haute Cour et la Cour constitutionnelle</w:t>
      </w:r>
      <w:r w:rsidR="00F54301" w:rsidRPr="00844541">
        <w:rPr>
          <w:lang w:val="fr-FR"/>
        </w:rPr>
        <w:t>,</w:t>
      </w:r>
      <w:r w:rsidR="00DD3CED" w:rsidRPr="00844541">
        <w:rPr>
          <w:lang w:val="fr-FR"/>
        </w:rPr>
        <w:t xml:space="preserve"> ont réglé ces divergences en alignant leurs positions sur la question de l</w:t>
      </w:r>
      <w:r w:rsidR="00844541">
        <w:rPr>
          <w:lang w:val="fr-FR"/>
        </w:rPr>
        <w:t>’</w:t>
      </w:r>
      <w:r w:rsidR="00DD3CED" w:rsidRPr="00844541">
        <w:rPr>
          <w:lang w:val="fr-FR"/>
        </w:rPr>
        <w:t xml:space="preserve">applicabilité du critère de la loi spéciale. En effet, </w:t>
      </w:r>
      <w:r w:rsidR="004B676F" w:rsidRPr="00844541">
        <w:rPr>
          <w:lang w:val="fr-FR"/>
        </w:rPr>
        <w:t xml:space="preserve">en </w:t>
      </w:r>
      <w:r w:rsidR="00DD3CED" w:rsidRPr="00844541">
        <w:rPr>
          <w:lang w:val="fr-FR"/>
        </w:rPr>
        <w:t xml:space="preserve">2012 et </w:t>
      </w:r>
      <w:r w:rsidR="00470A47" w:rsidRPr="00844541">
        <w:rPr>
          <w:lang w:val="fr-FR"/>
        </w:rPr>
        <w:t xml:space="preserve">en </w:t>
      </w:r>
      <w:r w:rsidR="00DD3CED" w:rsidRPr="00844541">
        <w:rPr>
          <w:lang w:val="fr-FR"/>
        </w:rPr>
        <w:t xml:space="preserve">2013, la jurisprudence de la Haute Cour </w:t>
      </w:r>
      <w:r w:rsidR="00304C85" w:rsidRPr="00844541">
        <w:rPr>
          <w:lang w:val="fr-FR"/>
        </w:rPr>
        <w:t>marquait</w:t>
      </w:r>
      <w:r w:rsidR="00DD3CED" w:rsidRPr="00844541">
        <w:rPr>
          <w:lang w:val="fr-FR"/>
        </w:rPr>
        <w:t xml:space="preserve"> une tendance donnant </w:t>
      </w:r>
      <w:r w:rsidR="004B676F" w:rsidRPr="00844541">
        <w:rPr>
          <w:lang w:val="fr-FR"/>
        </w:rPr>
        <w:t xml:space="preserve">la </w:t>
      </w:r>
      <w:r w:rsidR="00DD3CED" w:rsidRPr="00844541">
        <w:rPr>
          <w:lang w:val="fr-FR"/>
        </w:rPr>
        <w:t xml:space="preserve">préférence au critère prévu par la loi spéciale, à savoir la volonté des </w:t>
      </w:r>
      <w:r w:rsidR="004D27FC" w:rsidRPr="00844541">
        <w:rPr>
          <w:lang w:val="fr-FR"/>
        </w:rPr>
        <w:t xml:space="preserve">fidèles </w:t>
      </w:r>
      <w:r w:rsidR="00DD3CED" w:rsidRPr="00844541">
        <w:rPr>
          <w:lang w:val="fr-FR"/>
        </w:rPr>
        <w:t xml:space="preserve">des communautés </w:t>
      </w:r>
      <w:r w:rsidR="004D27FC" w:rsidRPr="00844541">
        <w:rPr>
          <w:lang w:val="fr-FR"/>
        </w:rPr>
        <w:t>détentrices de</w:t>
      </w:r>
      <w:r w:rsidR="00DD3CED" w:rsidRPr="00844541">
        <w:rPr>
          <w:lang w:val="fr-FR"/>
        </w:rPr>
        <w:t>s biens.</w:t>
      </w:r>
      <w:r w:rsidR="007B3AC7" w:rsidRPr="00844541">
        <w:rPr>
          <w:lang w:val="fr-FR"/>
        </w:rPr>
        <w:t xml:space="preserve"> De même</w:t>
      </w:r>
      <w:r w:rsidR="00DD3CED" w:rsidRPr="00844541">
        <w:rPr>
          <w:lang w:val="fr-FR"/>
        </w:rPr>
        <w:t xml:space="preserve">, la Cour </w:t>
      </w:r>
      <w:r w:rsidR="00F54301" w:rsidRPr="00844541">
        <w:rPr>
          <w:lang w:val="fr-FR"/>
        </w:rPr>
        <w:t>c</w:t>
      </w:r>
      <w:r w:rsidR="00DD3CED" w:rsidRPr="00844541">
        <w:rPr>
          <w:lang w:val="fr-FR"/>
        </w:rPr>
        <w:t>onstitutionnelle a</w:t>
      </w:r>
      <w:r w:rsidR="004D27FC" w:rsidRPr="00844541">
        <w:rPr>
          <w:lang w:val="fr-FR"/>
        </w:rPr>
        <w:t xml:space="preserve"> </w:t>
      </w:r>
      <w:r w:rsidR="00DD3CED" w:rsidRPr="00844541">
        <w:rPr>
          <w:lang w:val="fr-FR"/>
        </w:rPr>
        <w:t>jug</w:t>
      </w:r>
      <w:r w:rsidR="004E3D23" w:rsidRPr="00844541">
        <w:rPr>
          <w:lang w:val="fr-FR"/>
        </w:rPr>
        <w:t>é avec constance</w:t>
      </w:r>
      <w:r w:rsidR="00DD3CED" w:rsidRPr="00844541">
        <w:rPr>
          <w:lang w:val="fr-FR"/>
        </w:rPr>
        <w:t xml:space="preserve"> que ce critère était conforme à la Constitution (paragraphe</w:t>
      </w:r>
      <w:r w:rsidR="004D27FC" w:rsidRPr="00844541">
        <w:rPr>
          <w:lang w:val="fr-FR"/>
        </w:rPr>
        <w:t>s 50 et 51</w:t>
      </w:r>
      <w:r w:rsidR="00DD3CED" w:rsidRPr="00844541">
        <w:rPr>
          <w:lang w:val="fr-FR"/>
        </w:rPr>
        <w:t xml:space="preserve"> ci-dessus).</w:t>
      </w:r>
    </w:p>
    <w:p w:rsidR="00340DEB"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89</w:t>
      </w:r>
      <w:r w:rsidRPr="00844541">
        <w:rPr>
          <w:noProof/>
        </w:rPr>
        <w:fldChar w:fldCharType="end"/>
      </w:r>
      <w:r w:rsidR="008627BB" w:rsidRPr="00844541">
        <w:rPr>
          <w:lang w:val="fr-FR"/>
        </w:rPr>
        <w:t>.  </w:t>
      </w:r>
      <w:r w:rsidR="009E07E0" w:rsidRPr="00844541">
        <w:rPr>
          <w:lang w:val="fr-FR"/>
        </w:rPr>
        <w:t xml:space="preserve">La Cour rappelle </w:t>
      </w:r>
      <w:r w:rsidR="009B7E98" w:rsidRPr="00844541">
        <w:rPr>
          <w:lang w:val="fr-FR"/>
        </w:rPr>
        <w:t xml:space="preserve">de plus </w:t>
      </w:r>
      <w:r w:rsidR="009E07E0" w:rsidRPr="00844541">
        <w:rPr>
          <w:lang w:val="fr-FR"/>
        </w:rPr>
        <w:t>que l</w:t>
      </w:r>
      <w:r w:rsidR="00844541">
        <w:rPr>
          <w:lang w:val="fr-FR"/>
        </w:rPr>
        <w:t>’</w:t>
      </w:r>
      <w:r w:rsidR="009E07E0" w:rsidRPr="00844541">
        <w:rPr>
          <w:lang w:val="fr-FR"/>
        </w:rPr>
        <w:t xml:space="preserve">unification </w:t>
      </w:r>
      <w:r w:rsidR="00FC4304" w:rsidRPr="00844541">
        <w:rPr>
          <w:lang w:val="fr-FR"/>
        </w:rPr>
        <w:t xml:space="preserve">de la jurisprudence </w:t>
      </w:r>
      <w:r w:rsidR="00E86AD5" w:rsidRPr="00844541">
        <w:rPr>
          <w:lang w:val="fr-FR"/>
        </w:rPr>
        <w:t>qui passe par</w:t>
      </w:r>
      <w:r w:rsidR="00FC4304" w:rsidRPr="00844541">
        <w:rPr>
          <w:lang w:val="fr-FR"/>
        </w:rPr>
        <w:t xml:space="preserve"> la mise en place dans le système judiciaire de mécanismes censés assurer la cohérence de la pratique </w:t>
      </w:r>
      <w:r w:rsidR="009E07E0" w:rsidRPr="00844541">
        <w:rPr>
          <w:lang w:val="fr-FR"/>
        </w:rPr>
        <w:t>nécessite un certain temps (</w:t>
      </w:r>
      <w:r w:rsidR="00B22B6F" w:rsidRPr="00844541">
        <w:rPr>
          <w:i/>
          <w:lang w:val="fr-FR"/>
        </w:rPr>
        <w:t>Schwarzkopf </w:t>
      </w:r>
      <w:r w:rsidR="009E07E0" w:rsidRPr="00844541">
        <w:rPr>
          <w:i/>
          <w:lang w:val="fr-FR"/>
        </w:rPr>
        <w:t xml:space="preserve">et Taussik c. République </w:t>
      </w:r>
      <w:r w:rsidR="007C4038" w:rsidRPr="00844541">
        <w:rPr>
          <w:i/>
          <w:lang w:val="fr-FR"/>
        </w:rPr>
        <w:t>t</w:t>
      </w:r>
      <w:r w:rsidR="009E07E0" w:rsidRPr="00844541">
        <w:rPr>
          <w:i/>
          <w:lang w:val="fr-FR"/>
        </w:rPr>
        <w:t>chèque</w:t>
      </w:r>
      <w:r w:rsidR="009E07E0" w:rsidRPr="00844541">
        <w:rPr>
          <w:lang w:val="fr-FR"/>
        </w:rPr>
        <w:t xml:space="preserve"> (déc.), n</w:t>
      </w:r>
      <w:r w:rsidR="009E07E0" w:rsidRPr="00844541">
        <w:rPr>
          <w:vertAlign w:val="superscript"/>
          <w:lang w:val="fr-FR"/>
        </w:rPr>
        <w:t>o</w:t>
      </w:r>
      <w:r w:rsidR="009E07E0" w:rsidRPr="00844541">
        <w:rPr>
          <w:lang w:val="fr-FR"/>
        </w:rPr>
        <w:t xml:space="preserve"> 42162/02, 2</w:t>
      </w:r>
      <w:r w:rsidR="00F21B6A" w:rsidRPr="00844541">
        <w:rPr>
          <w:lang w:val="fr-FR"/>
        </w:rPr>
        <w:t> </w:t>
      </w:r>
      <w:r w:rsidR="009E07E0" w:rsidRPr="00844541">
        <w:rPr>
          <w:lang w:val="fr-FR"/>
        </w:rPr>
        <w:t xml:space="preserve">décembre 2008). </w:t>
      </w:r>
      <w:r w:rsidR="00F21B6A" w:rsidRPr="00844541">
        <w:rPr>
          <w:lang w:val="fr-FR"/>
        </w:rPr>
        <w:t xml:space="preserve">Dès lors, </w:t>
      </w:r>
      <w:r w:rsidR="00AB6D80" w:rsidRPr="00844541">
        <w:rPr>
          <w:lang w:val="fr-FR"/>
        </w:rPr>
        <w:t>en l</w:t>
      </w:r>
      <w:r w:rsidR="00844541">
        <w:rPr>
          <w:lang w:val="fr-FR"/>
        </w:rPr>
        <w:t>’</w:t>
      </w:r>
      <w:r w:rsidR="00AB6D80" w:rsidRPr="00844541">
        <w:rPr>
          <w:lang w:val="fr-FR"/>
        </w:rPr>
        <w:t xml:space="preserve">espèce, </w:t>
      </w:r>
      <w:r w:rsidR="00F21B6A" w:rsidRPr="00844541">
        <w:rPr>
          <w:lang w:val="fr-FR"/>
        </w:rPr>
        <w:t>le fait que la décision litigieuse a été rendue avant l</w:t>
      </w:r>
      <w:r w:rsidR="00844541">
        <w:rPr>
          <w:lang w:val="fr-FR"/>
        </w:rPr>
        <w:t>’</w:t>
      </w:r>
      <w:r w:rsidR="00F21B6A" w:rsidRPr="00844541">
        <w:rPr>
          <w:lang w:val="fr-FR"/>
        </w:rPr>
        <w:t xml:space="preserve">unification de la jurisprudence en la matière ne saurait à lui seul enfreindre les principes de prévisibilité et de sécurité juridique dans la mesure où le système judiciaire interne a été apte à mettre fin à cette </w:t>
      </w:r>
      <w:r w:rsidR="00A74FE4" w:rsidRPr="00844541">
        <w:rPr>
          <w:lang w:val="fr-FR"/>
        </w:rPr>
        <w:lastRenderedPageBreak/>
        <w:t>incertitude</w:t>
      </w:r>
      <w:r w:rsidR="00F21B6A" w:rsidRPr="00844541">
        <w:rPr>
          <w:lang w:val="fr-FR"/>
        </w:rPr>
        <w:t xml:space="preserve"> par ses propres moyens (voir, </w:t>
      </w:r>
      <w:r w:rsidR="00F21B6A" w:rsidRPr="00844541">
        <w:rPr>
          <w:i/>
          <w:lang w:val="fr-FR"/>
        </w:rPr>
        <w:t>mutatis mutandis</w:t>
      </w:r>
      <w:r w:rsidR="00F21B6A" w:rsidRPr="00844541">
        <w:rPr>
          <w:lang w:val="fr-FR"/>
        </w:rPr>
        <w:t xml:space="preserve">, </w:t>
      </w:r>
      <w:r w:rsidR="00B22B6F" w:rsidRPr="00844541">
        <w:rPr>
          <w:i/>
          <w:lang w:val="fr-FR"/>
        </w:rPr>
        <w:t>Albu et autres c. </w:t>
      </w:r>
      <w:r w:rsidR="00F21B6A" w:rsidRPr="00844541">
        <w:rPr>
          <w:i/>
          <w:lang w:val="fr-FR"/>
        </w:rPr>
        <w:t>Roumanie</w:t>
      </w:r>
      <w:r w:rsidR="00F21B6A" w:rsidRPr="00844541">
        <w:rPr>
          <w:lang w:val="fr-FR"/>
        </w:rPr>
        <w:t>, § 42, 10 mai 2012). Par ailleurs, la solution adopté</w:t>
      </w:r>
      <w:r w:rsidR="00AE1EFF" w:rsidRPr="00844541">
        <w:rPr>
          <w:lang w:val="fr-FR"/>
        </w:rPr>
        <w:t>e</w:t>
      </w:r>
      <w:r w:rsidR="00F21B6A" w:rsidRPr="00844541">
        <w:rPr>
          <w:lang w:val="fr-FR"/>
        </w:rPr>
        <w:t xml:space="preserve"> dans l</w:t>
      </w:r>
      <w:r w:rsidR="00844541">
        <w:rPr>
          <w:lang w:val="fr-FR"/>
        </w:rPr>
        <w:t>’</w:t>
      </w:r>
      <w:r w:rsidR="00F21B6A" w:rsidRPr="00844541">
        <w:rPr>
          <w:lang w:val="fr-FR"/>
        </w:rPr>
        <w:t>affaire des requérants ét</w:t>
      </w:r>
      <w:r w:rsidR="004B676F" w:rsidRPr="00844541">
        <w:rPr>
          <w:lang w:val="fr-FR"/>
        </w:rPr>
        <w:t>ait</w:t>
      </w:r>
      <w:r w:rsidR="00F21B6A" w:rsidRPr="00844541">
        <w:rPr>
          <w:lang w:val="fr-FR"/>
        </w:rPr>
        <w:t xml:space="preserve"> similaire à la </w:t>
      </w:r>
      <w:r w:rsidR="00AB6D80" w:rsidRPr="00844541">
        <w:rPr>
          <w:lang w:val="fr-FR"/>
        </w:rPr>
        <w:t>décision adoptée</w:t>
      </w:r>
      <w:r w:rsidR="00F21B6A" w:rsidRPr="00844541">
        <w:rPr>
          <w:lang w:val="fr-FR"/>
        </w:rPr>
        <w:t xml:space="preserve"> un an plus tard par la Cour </w:t>
      </w:r>
      <w:r w:rsidR="00F54301" w:rsidRPr="00844541">
        <w:rPr>
          <w:lang w:val="fr-FR"/>
        </w:rPr>
        <w:t>c</w:t>
      </w:r>
      <w:r w:rsidR="00F21B6A" w:rsidRPr="00844541">
        <w:rPr>
          <w:lang w:val="fr-FR"/>
        </w:rPr>
        <w:t xml:space="preserve">onstitutionnelle et </w:t>
      </w:r>
      <w:r w:rsidR="00AB6D80" w:rsidRPr="00844541">
        <w:rPr>
          <w:lang w:val="fr-FR"/>
        </w:rPr>
        <w:t xml:space="preserve">à </w:t>
      </w:r>
      <w:r w:rsidR="00F21B6A" w:rsidRPr="00844541">
        <w:rPr>
          <w:lang w:val="fr-FR"/>
        </w:rPr>
        <w:t xml:space="preserve">la jurisprudence </w:t>
      </w:r>
      <w:r w:rsidR="00AE1EFF" w:rsidRPr="00844541">
        <w:rPr>
          <w:lang w:val="fr-FR"/>
        </w:rPr>
        <w:t xml:space="preserve">quasi unanime </w:t>
      </w:r>
      <w:r w:rsidR="00F21B6A" w:rsidRPr="00844541">
        <w:rPr>
          <w:lang w:val="fr-FR"/>
        </w:rPr>
        <w:t>de la Haut</w:t>
      </w:r>
      <w:r w:rsidR="00F54301" w:rsidRPr="00844541">
        <w:rPr>
          <w:lang w:val="fr-FR"/>
        </w:rPr>
        <w:t>e</w:t>
      </w:r>
      <w:r w:rsidR="00F21B6A" w:rsidRPr="00844541">
        <w:rPr>
          <w:lang w:val="fr-FR"/>
        </w:rPr>
        <w:t xml:space="preserve"> Cour (</w:t>
      </w:r>
      <w:r w:rsidR="00F21B6A" w:rsidRPr="00844541">
        <w:rPr>
          <w:i/>
          <w:lang w:val="fr-FR"/>
        </w:rPr>
        <w:t>Usnul c. République tchèque</w:t>
      </w:r>
      <w:r w:rsidR="00F21B6A" w:rsidRPr="00844541">
        <w:rPr>
          <w:lang w:val="fr-FR"/>
        </w:rPr>
        <w:t>, n</w:t>
      </w:r>
      <w:r w:rsidR="00F21B6A" w:rsidRPr="00844541">
        <w:rPr>
          <w:vertAlign w:val="superscript"/>
          <w:lang w:val="fr-FR"/>
        </w:rPr>
        <w:t>o</w:t>
      </w:r>
      <w:r w:rsidR="00E446DE" w:rsidRPr="00844541">
        <w:rPr>
          <w:lang w:val="fr-FR"/>
        </w:rPr>
        <w:t xml:space="preserve"> 33945/06, 29 </w:t>
      </w:r>
      <w:r w:rsidR="00F21B6A" w:rsidRPr="00844541">
        <w:rPr>
          <w:lang w:val="fr-FR"/>
        </w:rPr>
        <w:t>mars 2011).</w:t>
      </w:r>
    </w:p>
    <w:p w:rsidR="00B43D08" w:rsidRPr="00844541" w:rsidRDefault="008549DA"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90</w:t>
      </w:r>
      <w:r w:rsidRPr="00844541">
        <w:rPr>
          <w:noProof/>
        </w:rPr>
        <w:fldChar w:fldCharType="end"/>
      </w:r>
      <w:r w:rsidR="008627BB" w:rsidRPr="00844541">
        <w:rPr>
          <w:lang w:val="fr-FR"/>
        </w:rPr>
        <w:t>.  </w:t>
      </w:r>
      <w:r w:rsidR="002345EA" w:rsidRPr="00844541">
        <w:rPr>
          <w:lang w:val="fr-FR"/>
        </w:rPr>
        <w:t>L</w:t>
      </w:r>
      <w:r w:rsidR="00AE1EFF" w:rsidRPr="00844541">
        <w:rPr>
          <w:lang w:val="fr-FR"/>
        </w:rPr>
        <w:t xml:space="preserve">a </w:t>
      </w:r>
      <w:r w:rsidR="00F54301" w:rsidRPr="00844541">
        <w:rPr>
          <w:lang w:val="fr-FR"/>
        </w:rPr>
        <w:t xml:space="preserve">Cour note que les pièces </w:t>
      </w:r>
      <w:r w:rsidR="00AB6D80" w:rsidRPr="00844541">
        <w:rPr>
          <w:lang w:val="fr-FR"/>
        </w:rPr>
        <w:t>produites</w:t>
      </w:r>
      <w:r w:rsidR="00F54301" w:rsidRPr="00844541">
        <w:rPr>
          <w:lang w:val="fr-FR"/>
        </w:rPr>
        <w:t xml:space="preserve"> par les parties ne permettent pas de savoir pendant combien de temps </w:t>
      </w:r>
      <w:r w:rsidR="00AE1EFF" w:rsidRPr="00844541">
        <w:rPr>
          <w:lang w:val="fr-FR"/>
        </w:rPr>
        <w:t xml:space="preserve">cette incertitude juridique a </w:t>
      </w:r>
      <w:r w:rsidR="00AB6D80" w:rsidRPr="00844541">
        <w:rPr>
          <w:lang w:val="fr-FR"/>
        </w:rPr>
        <w:t xml:space="preserve">eu cours </w:t>
      </w:r>
      <w:r w:rsidR="00AE1EFF" w:rsidRPr="00844541">
        <w:rPr>
          <w:lang w:val="fr-FR"/>
        </w:rPr>
        <w:t>au niveau interne. Cela étant,</w:t>
      </w:r>
      <w:r w:rsidR="002345EA" w:rsidRPr="00844541">
        <w:rPr>
          <w:lang w:val="fr-FR"/>
        </w:rPr>
        <w:t xml:space="preserve"> </w:t>
      </w:r>
      <w:r w:rsidR="00F54301" w:rsidRPr="00844541">
        <w:rPr>
          <w:lang w:val="fr-FR"/>
        </w:rPr>
        <w:t>s</w:t>
      </w:r>
      <w:r w:rsidR="00844541">
        <w:rPr>
          <w:lang w:val="fr-FR"/>
        </w:rPr>
        <w:t>’</w:t>
      </w:r>
      <w:r w:rsidR="00F54301" w:rsidRPr="00844541">
        <w:rPr>
          <w:lang w:val="fr-FR"/>
        </w:rPr>
        <w:t>il est indéniable que l</w:t>
      </w:r>
      <w:r w:rsidR="00844541">
        <w:rPr>
          <w:lang w:val="fr-FR"/>
        </w:rPr>
        <w:t>’</w:t>
      </w:r>
      <w:r w:rsidR="00F54301" w:rsidRPr="00844541">
        <w:rPr>
          <w:lang w:val="fr-FR"/>
        </w:rPr>
        <w:t xml:space="preserve">unification de leur jurisprudence par les juridictions internes a nécessité </w:t>
      </w:r>
      <w:r w:rsidR="00AE1EFF" w:rsidRPr="00844541">
        <w:rPr>
          <w:lang w:val="fr-FR"/>
        </w:rPr>
        <w:t>plusieurs années</w:t>
      </w:r>
      <w:r w:rsidR="00F54301" w:rsidRPr="00844541">
        <w:rPr>
          <w:lang w:val="fr-FR"/>
        </w:rPr>
        <w:t>,</w:t>
      </w:r>
      <w:r w:rsidR="00EB657B" w:rsidRPr="00844541">
        <w:rPr>
          <w:lang w:val="fr-FR"/>
        </w:rPr>
        <w:t xml:space="preserve"> la Cour prend en compte la complexité de l</w:t>
      </w:r>
      <w:r w:rsidR="00AB6D80" w:rsidRPr="00844541">
        <w:rPr>
          <w:lang w:val="fr-FR"/>
        </w:rPr>
        <w:t>a question que soulève</w:t>
      </w:r>
      <w:r w:rsidR="00EE1811" w:rsidRPr="00844541">
        <w:rPr>
          <w:lang w:val="fr-FR"/>
        </w:rPr>
        <w:t>nt</w:t>
      </w:r>
      <w:r w:rsidR="00AB6D80" w:rsidRPr="00844541">
        <w:rPr>
          <w:lang w:val="fr-FR"/>
        </w:rPr>
        <w:t xml:space="preserve"> la présente </w:t>
      </w:r>
      <w:r w:rsidR="00EB657B" w:rsidRPr="00844541">
        <w:rPr>
          <w:lang w:val="fr-FR"/>
        </w:rPr>
        <w:t xml:space="preserve">affaire et son impact social. En </w:t>
      </w:r>
      <w:r w:rsidR="00E27DF9" w:rsidRPr="00844541">
        <w:rPr>
          <w:lang w:val="fr-FR"/>
        </w:rPr>
        <w:t>outre</w:t>
      </w:r>
      <w:r w:rsidR="00EB657B" w:rsidRPr="00844541">
        <w:rPr>
          <w:lang w:val="fr-FR"/>
        </w:rPr>
        <w:t>, il ne s</w:t>
      </w:r>
      <w:r w:rsidR="00844541">
        <w:rPr>
          <w:lang w:val="fr-FR"/>
        </w:rPr>
        <w:t>’</w:t>
      </w:r>
      <w:r w:rsidR="00EB657B" w:rsidRPr="00844541">
        <w:rPr>
          <w:lang w:val="fr-FR"/>
        </w:rPr>
        <w:t>agi</w:t>
      </w:r>
      <w:r w:rsidR="002345EA" w:rsidRPr="00844541">
        <w:rPr>
          <w:lang w:val="fr-FR"/>
        </w:rPr>
        <w:t>ssai</w:t>
      </w:r>
      <w:r w:rsidR="00EB657B" w:rsidRPr="00844541">
        <w:rPr>
          <w:lang w:val="fr-FR"/>
        </w:rPr>
        <w:t>t pas en l</w:t>
      </w:r>
      <w:r w:rsidR="00844541">
        <w:rPr>
          <w:lang w:val="fr-FR"/>
        </w:rPr>
        <w:t>’</w:t>
      </w:r>
      <w:r w:rsidR="00EB657B" w:rsidRPr="00844541">
        <w:rPr>
          <w:lang w:val="fr-FR"/>
        </w:rPr>
        <w:t xml:space="preserve">espèce de </w:t>
      </w:r>
      <w:r w:rsidR="00E27DF9" w:rsidRPr="00844541">
        <w:rPr>
          <w:lang w:val="fr-FR"/>
        </w:rPr>
        <w:t xml:space="preserve">clarifier </w:t>
      </w:r>
      <w:r w:rsidR="00EB657B" w:rsidRPr="00844541">
        <w:rPr>
          <w:lang w:val="fr-FR"/>
        </w:rPr>
        <w:t>l</w:t>
      </w:r>
      <w:r w:rsidR="00844541">
        <w:rPr>
          <w:lang w:val="fr-FR"/>
        </w:rPr>
        <w:t>’</w:t>
      </w:r>
      <w:r w:rsidR="00EB657B" w:rsidRPr="00844541">
        <w:rPr>
          <w:lang w:val="fr-FR"/>
        </w:rPr>
        <w:t xml:space="preserve">interprétation </w:t>
      </w:r>
      <w:r w:rsidR="003072DE" w:rsidRPr="00844541">
        <w:rPr>
          <w:lang w:val="fr-FR"/>
        </w:rPr>
        <w:t xml:space="preserve">divergente </w:t>
      </w:r>
      <w:r w:rsidR="00EB657B" w:rsidRPr="00844541">
        <w:rPr>
          <w:lang w:val="fr-FR"/>
        </w:rPr>
        <w:t>d</w:t>
      </w:r>
      <w:r w:rsidR="00844541">
        <w:rPr>
          <w:lang w:val="fr-FR"/>
        </w:rPr>
        <w:t>’</w:t>
      </w:r>
      <w:r w:rsidR="00EB657B" w:rsidRPr="00844541">
        <w:rPr>
          <w:lang w:val="fr-FR"/>
        </w:rPr>
        <w:t>une disposition légale</w:t>
      </w:r>
      <w:r w:rsidR="002345EA" w:rsidRPr="00844541">
        <w:rPr>
          <w:lang w:val="fr-FR"/>
        </w:rPr>
        <w:t>,</w:t>
      </w:r>
      <w:r w:rsidR="00EB657B" w:rsidRPr="00844541">
        <w:rPr>
          <w:lang w:val="fr-FR"/>
        </w:rPr>
        <w:t xml:space="preserve"> mais de décider par voie jurisprudentielle de la manière d</w:t>
      </w:r>
      <w:r w:rsidR="002345EA" w:rsidRPr="00844541">
        <w:rPr>
          <w:lang w:val="fr-FR"/>
        </w:rPr>
        <w:t>ont</w:t>
      </w:r>
      <w:r w:rsidR="00EB657B" w:rsidRPr="00844541">
        <w:rPr>
          <w:lang w:val="fr-FR"/>
        </w:rPr>
        <w:t xml:space="preserve"> le droit commun et les normes spéciales devaient</w:t>
      </w:r>
      <w:r w:rsidR="00175DED" w:rsidRPr="00844541">
        <w:rPr>
          <w:lang w:val="fr-FR"/>
        </w:rPr>
        <w:t xml:space="preserve"> s</w:t>
      </w:r>
      <w:r w:rsidR="00844541">
        <w:rPr>
          <w:lang w:val="fr-FR"/>
        </w:rPr>
        <w:t>’</w:t>
      </w:r>
      <w:r w:rsidR="00175DED" w:rsidRPr="00844541">
        <w:rPr>
          <w:lang w:val="fr-FR"/>
        </w:rPr>
        <w:t>appliquer</w:t>
      </w:r>
      <w:r w:rsidR="00EB657B" w:rsidRPr="00844541">
        <w:rPr>
          <w:lang w:val="fr-FR"/>
        </w:rPr>
        <w:t>.</w:t>
      </w:r>
    </w:p>
    <w:p w:rsidR="00D8345F"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91</w:t>
      </w:r>
      <w:r w:rsidRPr="00844541">
        <w:rPr>
          <w:noProof/>
        </w:rPr>
        <w:fldChar w:fldCharType="end"/>
      </w:r>
      <w:r w:rsidR="008627BB" w:rsidRPr="00844541">
        <w:rPr>
          <w:lang w:val="fr-FR"/>
        </w:rPr>
        <w:t>.  </w:t>
      </w:r>
      <w:r w:rsidR="00EB3FA6" w:rsidRPr="00844541">
        <w:rPr>
          <w:lang w:val="fr-FR"/>
        </w:rPr>
        <w:t>La Cour rappelle enfin qu</w:t>
      </w:r>
      <w:r w:rsidR="00844541">
        <w:rPr>
          <w:lang w:val="fr-FR"/>
        </w:rPr>
        <w:t>’</w:t>
      </w:r>
      <w:r w:rsidR="009E78EE" w:rsidRPr="00844541">
        <w:rPr>
          <w:lang w:val="fr-FR"/>
        </w:rPr>
        <w:t>apprécier l</w:t>
      </w:r>
      <w:r w:rsidR="00844541">
        <w:rPr>
          <w:lang w:val="fr-FR"/>
        </w:rPr>
        <w:t>’</w:t>
      </w:r>
      <w:r w:rsidR="009E78EE" w:rsidRPr="00844541">
        <w:rPr>
          <w:lang w:val="fr-FR"/>
        </w:rPr>
        <w:t>existence et la portée d</w:t>
      </w:r>
      <w:r w:rsidR="00844541">
        <w:rPr>
          <w:lang w:val="fr-FR"/>
        </w:rPr>
        <w:t>’</w:t>
      </w:r>
      <w:r w:rsidR="009E78EE" w:rsidRPr="00844541">
        <w:rPr>
          <w:lang w:val="fr-FR"/>
        </w:rPr>
        <w:t>une divergence de jurisprudence ne signifie pas</w:t>
      </w:r>
      <w:r w:rsidR="00025B0D" w:rsidRPr="00844541">
        <w:rPr>
          <w:lang w:val="fr-FR"/>
        </w:rPr>
        <w:t>,</w:t>
      </w:r>
      <w:r w:rsidR="009E78EE" w:rsidRPr="00844541">
        <w:rPr>
          <w:lang w:val="fr-FR"/>
        </w:rPr>
        <w:t xml:space="preserve"> pour</w:t>
      </w:r>
      <w:r w:rsidR="00EB3FA6" w:rsidRPr="00844541">
        <w:rPr>
          <w:lang w:val="fr-FR"/>
        </w:rPr>
        <w:t xml:space="preserve"> elle</w:t>
      </w:r>
      <w:r w:rsidR="00025B0D" w:rsidRPr="00844541">
        <w:rPr>
          <w:lang w:val="fr-FR"/>
        </w:rPr>
        <w:t>,</w:t>
      </w:r>
      <w:r w:rsidR="009E78EE" w:rsidRPr="00844541">
        <w:rPr>
          <w:lang w:val="fr-FR"/>
        </w:rPr>
        <w:t xml:space="preserve"> apprécier l</w:t>
      </w:r>
      <w:r w:rsidR="00844541">
        <w:rPr>
          <w:lang w:val="fr-FR"/>
        </w:rPr>
        <w:t>’</w:t>
      </w:r>
      <w:r w:rsidR="009E78EE" w:rsidRPr="00844541">
        <w:rPr>
          <w:lang w:val="fr-FR"/>
        </w:rPr>
        <w:t>opportunité des choix de politique jurisprudentielle opérés par les juridictions internes en l</w:t>
      </w:r>
      <w:r w:rsidR="00844541">
        <w:rPr>
          <w:lang w:val="fr-FR"/>
        </w:rPr>
        <w:t>’</w:t>
      </w:r>
      <w:r w:rsidR="009E78EE" w:rsidRPr="00844541">
        <w:rPr>
          <w:lang w:val="fr-FR"/>
        </w:rPr>
        <w:t>absence d</w:t>
      </w:r>
      <w:r w:rsidR="00844541">
        <w:rPr>
          <w:lang w:val="fr-FR"/>
        </w:rPr>
        <w:t>’</w:t>
      </w:r>
      <w:r w:rsidR="009E78EE" w:rsidRPr="00844541">
        <w:rPr>
          <w:lang w:val="fr-FR"/>
        </w:rPr>
        <w:t>arbitraire (</w:t>
      </w:r>
      <w:bookmarkStart w:id="21" w:name="File10"/>
      <w:r w:rsidR="00F11332" w:rsidRPr="00844541">
        <w:rPr>
          <w:i/>
          <w:lang w:val="fr-FR"/>
        </w:rPr>
        <w:t>Nejdet Şahin et Perihan Şahin</w:t>
      </w:r>
      <w:bookmarkEnd w:id="21"/>
      <w:r w:rsidR="000F2E9E" w:rsidRPr="00844541">
        <w:rPr>
          <w:lang w:val="fr-FR"/>
        </w:rPr>
        <w:t xml:space="preserve">, </w:t>
      </w:r>
      <w:r w:rsidR="00F11332" w:rsidRPr="00844541">
        <w:rPr>
          <w:lang w:val="fr-FR"/>
        </w:rPr>
        <w:t xml:space="preserve">précité, </w:t>
      </w:r>
      <w:r w:rsidR="000F2E9E" w:rsidRPr="00844541">
        <w:rPr>
          <w:lang w:val="fr-FR"/>
        </w:rPr>
        <w:t xml:space="preserve">§ </w:t>
      </w:r>
      <w:r w:rsidR="00304C85" w:rsidRPr="00844541">
        <w:rPr>
          <w:lang w:val="fr-FR"/>
        </w:rPr>
        <w:t>89</w:t>
      </w:r>
      <w:r w:rsidR="009E78EE" w:rsidRPr="00844541">
        <w:rPr>
          <w:lang w:val="fr-FR"/>
        </w:rPr>
        <w:t>).</w:t>
      </w:r>
      <w:r w:rsidR="00B1530F" w:rsidRPr="00844541">
        <w:rPr>
          <w:lang w:val="fr-FR"/>
        </w:rPr>
        <w:t xml:space="preserve"> </w:t>
      </w:r>
      <w:r w:rsidR="00597EE7" w:rsidRPr="00844541">
        <w:rPr>
          <w:lang w:val="fr-FR"/>
        </w:rPr>
        <w:t>En</w:t>
      </w:r>
      <w:r w:rsidR="009E78EE" w:rsidRPr="00844541">
        <w:rPr>
          <w:lang w:val="fr-FR"/>
        </w:rPr>
        <w:t xml:space="preserve"> l</w:t>
      </w:r>
      <w:r w:rsidR="00844541">
        <w:rPr>
          <w:lang w:val="fr-FR"/>
        </w:rPr>
        <w:t>’</w:t>
      </w:r>
      <w:r w:rsidR="009E78EE" w:rsidRPr="00844541">
        <w:rPr>
          <w:lang w:val="fr-FR"/>
        </w:rPr>
        <w:t>espèce, la Cour estime que</w:t>
      </w:r>
      <w:r w:rsidR="00BB7F5D" w:rsidRPr="00844541">
        <w:rPr>
          <w:lang w:val="fr-FR"/>
        </w:rPr>
        <w:t>,</w:t>
      </w:r>
      <w:r w:rsidR="009E78EE" w:rsidRPr="00844541">
        <w:rPr>
          <w:lang w:val="fr-FR"/>
        </w:rPr>
        <w:t xml:space="preserve"> même si l</w:t>
      </w:r>
      <w:r w:rsidR="00844541">
        <w:rPr>
          <w:lang w:val="fr-FR"/>
        </w:rPr>
        <w:t>’</w:t>
      </w:r>
      <w:r w:rsidR="009E78EE" w:rsidRPr="00844541">
        <w:rPr>
          <w:lang w:val="fr-FR"/>
        </w:rPr>
        <w:t xml:space="preserve">interprétation donnée par la </w:t>
      </w:r>
      <w:r w:rsidR="00597EE7" w:rsidRPr="00844541">
        <w:rPr>
          <w:lang w:val="fr-FR"/>
        </w:rPr>
        <w:t>H</w:t>
      </w:r>
      <w:r w:rsidR="009E78EE" w:rsidRPr="00844541">
        <w:rPr>
          <w:lang w:val="fr-FR"/>
        </w:rPr>
        <w:t xml:space="preserve">aute Cour à la notion de « droit commun » et son articulation avec la norme spéciale </w:t>
      </w:r>
      <w:r w:rsidR="00BB7F5D" w:rsidRPr="00844541">
        <w:rPr>
          <w:lang w:val="fr-FR"/>
        </w:rPr>
        <w:t>ont</w:t>
      </w:r>
      <w:r w:rsidR="009E78EE" w:rsidRPr="00844541">
        <w:rPr>
          <w:lang w:val="fr-FR"/>
        </w:rPr>
        <w:t xml:space="preserve"> été défavorable</w:t>
      </w:r>
      <w:r w:rsidR="00BB7F5D" w:rsidRPr="00844541">
        <w:rPr>
          <w:lang w:val="fr-FR"/>
        </w:rPr>
        <w:t>s</w:t>
      </w:r>
      <w:r w:rsidR="009E78EE" w:rsidRPr="00844541">
        <w:rPr>
          <w:lang w:val="fr-FR"/>
        </w:rPr>
        <w:t xml:space="preserve"> aux requérants, cette seule interprétation n</w:t>
      </w:r>
      <w:r w:rsidR="00844541">
        <w:rPr>
          <w:lang w:val="fr-FR"/>
        </w:rPr>
        <w:t>’</w:t>
      </w:r>
      <w:r w:rsidR="009E78EE" w:rsidRPr="00844541">
        <w:rPr>
          <w:lang w:val="fr-FR"/>
        </w:rPr>
        <w:t>est pas en soi constitutive d</w:t>
      </w:r>
      <w:r w:rsidR="00844541">
        <w:rPr>
          <w:lang w:val="fr-FR"/>
        </w:rPr>
        <w:t>’</w:t>
      </w:r>
      <w:r w:rsidR="009E78EE" w:rsidRPr="00844541">
        <w:rPr>
          <w:lang w:val="fr-FR"/>
        </w:rPr>
        <w:t>une atteinte à l</w:t>
      </w:r>
      <w:r w:rsidR="00844541">
        <w:rPr>
          <w:lang w:val="fr-FR"/>
        </w:rPr>
        <w:t>’</w:t>
      </w:r>
      <w:r w:rsidR="009E78EE" w:rsidRPr="00844541">
        <w:rPr>
          <w:lang w:val="fr-FR"/>
        </w:rPr>
        <w:t xml:space="preserve">article 6 de la Convention. Il convient également de souligner que les requérants ne peuvent pas non plus prétendre avoir subi un déni de justice </w:t>
      </w:r>
      <w:r w:rsidR="00304C85" w:rsidRPr="00844541">
        <w:rPr>
          <w:lang w:val="fr-FR"/>
        </w:rPr>
        <w:t>puisque</w:t>
      </w:r>
      <w:r w:rsidR="009E78EE" w:rsidRPr="00844541">
        <w:rPr>
          <w:lang w:val="fr-FR"/>
        </w:rPr>
        <w:t xml:space="preserve"> leur litige </w:t>
      </w:r>
      <w:r w:rsidR="00304C85" w:rsidRPr="00844541">
        <w:rPr>
          <w:lang w:val="fr-FR"/>
        </w:rPr>
        <w:t>a fait l</w:t>
      </w:r>
      <w:r w:rsidR="00844541">
        <w:rPr>
          <w:lang w:val="fr-FR"/>
        </w:rPr>
        <w:t>’</w:t>
      </w:r>
      <w:r w:rsidR="00304C85" w:rsidRPr="00844541">
        <w:rPr>
          <w:lang w:val="fr-FR"/>
        </w:rPr>
        <w:t>objet d</w:t>
      </w:r>
      <w:r w:rsidR="00844541">
        <w:rPr>
          <w:lang w:val="fr-FR"/>
        </w:rPr>
        <w:t>’</w:t>
      </w:r>
      <w:r w:rsidR="00304C85" w:rsidRPr="00844541">
        <w:rPr>
          <w:lang w:val="fr-FR"/>
        </w:rPr>
        <w:t xml:space="preserve">un examen </w:t>
      </w:r>
      <w:r w:rsidR="009E78EE" w:rsidRPr="00844541">
        <w:rPr>
          <w:lang w:val="fr-FR"/>
        </w:rPr>
        <w:t>par la cour d</w:t>
      </w:r>
      <w:r w:rsidR="00844541">
        <w:rPr>
          <w:lang w:val="fr-FR"/>
        </w:rPr>
        <w:t>’</w:t>
      </w:r>
      <w:r w:rsidR="009E78EE" w:rsidRPr="00844541">
        <w:rPr>
          <w:lang w:val="fr-FR"/>
        </w:rPr>
        <w:t xml:space="preserve">appel et la Haute Cour. </w:t>
      </w:r>
      <w:r w:rsidR="003635AA" w:rsidRPr="00844541">
        <w:rPr>
          <w:lang w:val="fr-FR"/>
        </w:rPr>
        <w:t>La Cour considère e</w:t>
      </w:r>
      <w:r w:rsidR="009E78EE" w:rsidRPr="00844541">
        <w:rPr>
          <w:lang w:val="fr-FR"/>
        </w:rPr>
        <w:t>n outre</w:t>
      </w:r>
      <w:r w:rsidR="003635AA" w:rsidRPr="00844541">
        <w:rPr>
          <w:lang w:val="fr-FR"/>
        </w:rPr>
        <w:t xml:space="preserve"> que ces</w:t>
      </w:r>
      <w:r w:rsidR="009E78EE" w:rsidRPr="00844541">
        <w:rPr>
          <w:lang w:val="fr-FR"/>
        </w:rPr>
        <w:t xml:space="preserve"> juridictions ont dûment motivé</w:t>
      </w:r>
      <w:r w:rsidR="003635AA" w:rsidRPr="00844541">
        <w:rPr>
          <w:lang w:val="fr-FR"/>
        </w:rPr>
        <w:t xml:space="preserve"> leurs décisions</w:t>
      </w:r>
      <w:r w:rsidR="009E78EE" w:rsidRPr="00844541">
        <w:rPr>
          <w:lang w:val="fr-FR"/>
        </w:rPr>
        <w:t xml:space="preserve"> en fait et en droit, </w:t>
      </w:r>
      <w:r w:rsidR="003635AA" w:rsidRPr="00844541">
        <w:rPr>
          <w:lang w:val="fr-FR"/>
        </w:rPr>
        <w:t>et que</w:t>
      </w:r>
      <w:r w:rsidR="009E78EE" w:rsidRPr="00844541">
        <w:rPr>
          <w:lang w:val="fr-FR"/>
        </w:rPr>
        <w:t xml:space="preserve"> </w:t>
      </w:r>
      <w:r w:rsidR="003635AA" w:rsidRPr="00844541">
        <w:rPr>
          <w:lang w:val="fr-FR"/>
        </w:rPr>
        <w:t>l</w:t>
      </w:r>
      <w:r w:rsidR="00844541">
        <w:rPr>
          <w:lang w:val="fr-FR"/>
        </w:rPr>
        <w:t>’</w:t>
      </w:r>
      <w:r w:rsidR="009E78EE" w:rsidRPr="00844541">
        <w:rPr>
          <w:lang w:val="fr-FR"/>
        </w:rPr>
        <w:t xml:space="preserve">interprétation </w:t>
      </w:r>
      <w:r w:rsidR="003635AA" w:rsidRPr="00844541">
        <w:rPr>
          <w:lang w:val="fr-FR"/>
        </w:rPr>
        <w:t xml:space="preserve">de celles-ci </w:t>
      </w:r>
      <w:r w:rsidR="009E78EE" w:rsidRPr="00844541">
        <w:rPr>
          <w:lang w:val="fr-FR"/>
        </w:rPr>
        <w:t xml:space="preserve">quant aux circonstances soumises à leur examen </w:t>
      </w:r>
      <w:r w:rsidR="003635AA" w:rsidRPr="00844541">
        <w:rPr>
          <w:lang w:val="fr-FR"/>
        </w:rPr>
        <w:t>n</w:t>
      </w:r>
      <w:r w:rsidR="00844541">
        <w:rPr>
          <w:lang w:val="fr-FR"/>
        </w:rPr>
        <w:t>’</w:t>
      </w:r>
      <w:r w:rsidR="003635AA" w:rsidRPr="00844541">
        <w:rPr>
          <w:lang w:val="fr-FR"/>
        </w:rPr>
        <w:t>est pas</w:t>
      </w:r>
      <w:r w:rsidR="009E78EE" w:rsidRPr="00844541">
        <w:rPr>
          <w:lang w:val="fr-FR"/>
        </w:rPr>
        <w:t xml:space="preserve"> arbitraire, déraisonnable ou de nature à entacher l</w:t>
      </w:r>
      <w:r w:rsidR="00844541">
        <w:rPr>
          <w:lang w:val="fr-FR"/>
        </w:rPr>
        <w:t>’</w:t>
      </w:r>
      <w:r w:rsidR="009E78EE" w:rsidRPr="00844541">
        <w:rPr>
          <w:lang w:val="fr-FR"/>
        </w:rPr>
        <w:t xml:space="preserve">équité de la procédure, mais </w:t>
      </w:r>
      <w:r w:rsidR="003635AA" w:rsidRPr="00844541">
        <w:rPr>
          <w:lang w:val="fr-FR"/>
        </w:rPr>
        <w:t>qu</w:t>
      </w:r>
      <w:r w:rsidR="00844541">
        <w:rPr>
          <w:lang w:val="fr-FR"/>
        </w:rPr>
        <w:t>’</w:t>
      </w:r>
      <w:r w:rsidR="003635AA" w:rsidRPr="00844541">
        <w:rPr>
          <w:lang w:val="fr-FR"/>
        </w:rPr>
        <w:t xml:space="preserve">elle </w:t>
      </w:r>
      <w:r w:rsidR="009E78EE" w:rsidRPr="00844541">
        <w:rPr>
          <w:lang w:val="fr-FR"/>
        </w:rPr>
        <w:t>relève simplement des modalités d</w:t>
      </w:r>
      <w:r w:rsidR="00844541">
        <w:rPr>
          <w:lang w:val="fr-FR"/>
        </w:rPr>
        <w:t>’</w:t>
      </w:r>
      <w:r w:rsidR="009E78EE" w:rsidRPr="00844541">
        <w:rPr>
          <w:lang w:val="fr-FR"/>
        </w:rPr>
        <w:t>application du droit interne.</w:t>
      </w:r>
    </w:p>
    <w:p w:rsidR="00A7288A" w:rsidRPr="00844541" w:rsidRDefault="003635AA"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92</w:t>
      </w:r>
      <w:r w:rsidRPr="00844541">
        <w:rPr>
          <w:noProof/>
        </w:rPr>
        <w:fldChar w:fldCharType="end"/>
      </w:r>
      <w:r w:rsidR="008627BB" w:rsidRPr="00844541">
        <w:rPr>
          <w:lang w:val="fr-FR"/>
        </w:rPr>
        <w:t>.  </w:t>
      </w:r>
      <w:r w:rsidRPr="00844541">
        <w:rPr>
          <w:rFonts w:cstheme="minorHAnsi"/>
          <w:lang w:val="fr-FR"/>
        </w:rPr>
        <w:t>À</w:t>
      </w:r>
      <w:r w:rsidR="00BB7F5D" w:rsidRPr="00844541">
        <w:rPr>
          <w:lang w:val="fr-FR"/>
        </w:rPr>
        <w:t xml:space="preserve"> la lumière</w:t>
      </w:r>
      <w:r w:rsidR="00B7210D" w:rsidRPr="00844541">
        <w:rPr>
          <w:lang w:val="fr-FR"/>
        </w:rPr>
        <w:t xml:space="preserve"> de ce qui précède</w:t>
      </w:r>
      <w:r w:rsidR="00A7288A" w:rsidRPr="00844541">
        <w:rPr>
          <w:lang w:val="fr-FR"/>
        </w:rPr>
        <w:t>, la Cour conclut à la non-violation de l</w:t>
      </w:r>
      <w:r w:rsidR="00844541">
        <w:rPr>
          <w:lang w:val="fr-FR"/>
        </w:rPr>
        <w:t>’</w:t>
      </w:r>
      <w:r w:rsidR="00A7288A" w:rsidRPr="00844541">
        <w:rPr>
          <w:lang w:val="fr-FR"/>
        </w:rPr>
        <w:t>article 6 § 1 de la Convention</w:t>
      </w:r>
      <w:r w:rsidR="00B5161E" w:rsidRPr="00844541">
        <w:rPr>
          <w:lang w:val="fr-FR"/>
        </w:rPr>
        <w:t xml:space="preserve"> sur ce point</w:t>
      </w:r>
      <w:r w:rsidR="00A7288A" w:rsidRPr="00844541">
        <w:rPr>
          <w:lang w:val="fr-FR"/>
        </w:rPr>
        <w:t>.</w:t>
      </w:r>
    </w:p>
    <w:p w:rsidR="00210136" w:rsidRPr="00844541" w:rsidRDefault="003D656D" w:rsidP="00844541">
      <w:pPr>
        <w:pStyle w:val="ECHRHeading3"/>
      </w:pPr>
      <w:bookmarkStart w:id="22" w:name="HIT1"/>
      <w:bookmarkStart w:id="23" w:name="HIT2"/>
      <w:bookmarkEnd w:id="22"/>
      <w:bookmarkEnd w:id="23"/>
      <w:r w:rsidRPr="00844541">
        <w:t>3</w:t>
      </w:r>
      <w:r w:rsidR="00210136" w:rsidRPr="00844541">
        <w:t>.</w:t>
      </w:r>
      <w:r w:rsidR="00875B62" w:rsidRPr="00844541">
        <w:t>  </w:t>
      </w:r>
      <w:r w:rsidR="00210136" w:rsidRPr="00844541">
        <w:t>Sur la durée de la procédure</w:t>
      </w:r>
    </w:p>
    <w:p w:rsidR="00E21F73" w:rsidRPr="00844541" w:rsidRDefault="00E21F73" w:rsidP="00844541">
      <w:pPr>
        <w:pStyle w:val="ECHRHeading4"/>
      </w:pPr>
      <w:r w:rsidRPr="00844541">
        <w:t>a</w:t>
      </w:r>
      <w:r w:rsidR="00875B62" w:rsidRPr="00844541">
        <w:t>)</w:t>
      </w:r>
      <w:r w:rsidR="00C37E41" w:rsidRPr="00844541">
        <w:t>  </w:t>
      </w:r>
      <w:r w:rsidR="00FB27C1" w:rsidRPr="00844541">
        <w:t>Les a</w:t>
      </w:r>
      <w:r w:rsidRPr="00844541">
        <w:t>rguments des parties</w:t>
      </w:r>
    </w:p>
    <w:p w:rsidR="00210136" w:rsidRPr="00844541" w:rsidRDefault="00AA632A"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93</w:t>
      </w:r>
      <w:r w:rsidRPr="00844541">
        <w:rPr>
          <w:noProof/>
        </w:rPr>
        <w:fldChar w:fldCharType="end"/>
      </w:r>
      <w:r w:rsidR="00FB0B85" w:rsidRPr="00844541">
        <w:rPr>
          <w:lang w:val="fr-FR"/>
        </w:rPr>
        <w:t>.  </w:t>
      </w:r>
      <w:r w:rsidR="00210136" w:rsidRPr="00844541">
        <w:rPr>
          <w:lang w:val="fr-FR"/>
        </w:rPr>
        <w:t>Les requérants</w:t>
      </w:r>
      <w:r w:rsidR="00615498" w:rsidRPr="00844541">
        <w:rPr>
          <w:lang w:val="fr-FR"/>
        </w:rPr>
        <w:t xml:space="preserve"> dénoncent la durée de la </w:t>
      </w:r>
      <w:r w:rsidR="008572E9" w:rsidRPr="00844541">
        <w:rPr>
          <w:lang w:val="fr-FR"/>
        </w:rPr>
        <w:t xml:space="preserve">procédure qui </w:t>
      </w:r>
      <w:r w:rsidR="00BB7F5D" w:rsidRPr="00844541">
        <w:rPr>
          <w:lang w:val="fr-FR"/>
        </w:rPr>
        <w:t>est,</w:t>
      </w:r>
      <w:r w:rsidR="008572E9" w:rsidRPr="00844541">
        <w:rPr>
          <w:lang w:val="fr-FR"/>
        </w:rPr>
        <w:t xml:space="preserve"> selon eux</w:t>
      </w:r>
      <w:r w:rsidR="00BB7F5D" w:rsidRPr="00844541">
        <w:rPr>
          <w:lang w:val="fr-FR"/>
        </w:rPr>
        <w:t>,</w:t>
      </w:r>
      <w:r w:rsidR="00615498" w:rsidRPr="00844541">
        <w:rPr>
          <w:lang w:val="fr-FR"/>
        </w:rPr>
        <w:t xml:space="preserve"> </w:t>
      </w:r>
      <w:r w:rsidR="00AB6D80" w:rsidRPr="00844541">
        <w:rPr>
          <w:lang w:val="fr-FR"/>
        </w:rPr>
        <w:t>de</w:t>
      </w:r>
      <w:r w:rsidR="005D7586" w:rsidRPr="00844541">
        <w:rPr>
          <w:lang w:val="fr-FR"/>
        </w:rPr>
        <w:t xml:space="preserve"> </w:t>
      </w:r>
      <w:r w:rsidR="00615498" w:rsidRPr="00844541">
        <w:rPr>
          <w:lang w:val="fr-FR"/>
        </w:rPr>
        <w:t>dix ans et un mois</w:t>
      </w:r>
      <w:r w:rsidR="008572E9" w:rsidRPr="00844541">
        <w:rPr>
          <w:lang w:val="fr-FR"/>
        </w:rPr>
        <w:t xml:space="preserve"> </w:t>
      </w:r>
      <w:r w:rsidR="006007D3" w:rsidRPr="00844541">
        <w:rPr>
          <w:lang w:val="fr-FR"/>
        </w:rPr>
        <w:t xml:space="preserve">et </w:t>
      </w:r>
      <w:r w:rsidR="008572E9" w:rsidRPr="00844541">
        <w:rPr>
          <w:lang w:val="fr-FR"/>
        </w:rPr>
        <w:t>qu</w:t>
      </w:r>
      <w:r w:rsidR="00844541">
        <w:rPr>
          <w:lang w:val="fr-FR"/>
        </w:rPr>
        <w:t>’</w:t>
      </w:r>
      <w:r w:rsidR="008572E9" w:rsidRPr="00844541">
        <w:rPr>
          <w:lang w:val="fr-FR"/>
        </w:rPr>
        <w:t xml:space="preserve">ils </w:t>
      </w:r>
      <w:r w:rsidR="00EF60F3" w:rsidRPr="00844541">
        <w:rPr>
          <w:lang w:val="fr-FR"/>
        </w:rPr>
        <w:t>estiment</w:t>
      </w:r>
      <w:r w:rsidR="008572E9" w:rsidRPr="00844541">
        <w:rPr>
          <w:lang w:val="fr-FR"/>
        </w:rPr>
        <w:t xml:space="preserve"> imputable aux autorités nationales</w:t>
      </w:r>
      <w:r w:rsidR="00615498" w:rsidRPr="00844541">
        <w:rPr>
          <w:lang w:val="fr-FR"/>
        </w:rPr>
        <w:t xml:space="preserve">. </w:t>
      </w:r>
      <w:r w:rsidR="00AE3E95" w:rsidRPr="00844541">
        <w:rPr>
          <w:lang w:val="fr-FR"/>
        </w:rPr>
        <w:t>Ils soutiennent</w:t>
      </w:r>
      <w:r w:rsidR="00615498" w:rsidRPr="00844541">
        <w:rPr>
          <w:lang w:val="fr-FR"/>
        </w:rPr>
        <w:t xml:space="preserve"> que l</w:t>
      </w:r>
      <w:r w:rsidR="00BB7F5D" w:rsidRPr="00844541">
        <w:rPr>
          <w:lang w:val="fr-FR"/>
        </w:rPr>
        <w:t xml:space="preserve">eur </w:t>
      </w:r>
      <w:r w:rsidR="00615498" w:rsidRPr="00844541">
        <w:rPr>
          <w:lang w:val="fr-FR"/>
        </w:rPr>
        <w:t>affaire n</w:t>
      </w:r>
      <w:r w:rsidR="00844541">
        <w:rPr>
          <w:lang w:val="fr-FR"/>
        </w:rPr>
        <w:t>’</w:t>
      </w:r>
      <w:r w:rsidR="00615498" w:rsidRPr="00844541">
        <w:rPr>
          <w:lang w:val="fr-FR"/>
        </w:rPr>
        <w:t>était pas complexe et que les preuves avaient été versées au dossier dès la saisi</w:t>
      </w:r>
      <w:r w:rsidR="006007D3" w:rsidRPr="00844541">
        <w:rPr>
          <w:lang w:val="fr-FR"/>
        </w:rPr>
        <w:t>n</w:t>
      </w:r>
      <w:r w:rsidR="00615498" w:rsidRPr="00844541">
        <w:rPr>
          <w:lang w:val="fr-FR"/>
        </w:rPr>
        <w:t xml:space="preserve">e des </w:t>
      </w:r>
      <w:r w:rsidR="006007D3" w:rsidRPr="00844541">
        <w:rPr>
          <w:lang w:val="fr-FR"/>
        </w:rPr>
        <w:t>juridictions</w:t>
      </w:r>
      <w:r w:rsidR="00615498" w:rsidRPr="00844541">
        <w:rPr>
          <w:lang w:val="fr-FR"/>
        </w:rPr>
        <w:t>.</w:t>
      </w:r>
    </w:p>
    <w:p w:rsidR="00D472AE" w:rsidRPr="00844541" w:rsidRDefault="00AA632A"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94</w:t>
      </w:r>
      <w:r w:rsidRPr="00844541">
        <w:rPr>
          <w:noProof/>
        </w:rPr>
        <w:fldChar w:fldCharType="end"/>
      </w:r>
      <w:r w:rsidR="00FB0B85" w:rsidRPr="00844541">
        <w:rPr>
          <w:lang w:val="fr-FR"/>
        </w:rPr>
        <w:t>.  </w:t>
      </w:r>
      <w:r w:rsidR="00210136" w:rsidRPr="00844541">
        <w:rPr>
          <w:lang w:val="fr-FR"/>
        </w:rPr>
        <w:t xml:space="preserve">Le Gouvernement </w:t>
      </w:r>
      <w:r w:rsidR="00AB6D80" w:rsidRPr="00844541">
        <w:rPr>
          <w:lang w:val="fr-FR"/>
        </w:rPr>
        <w:t>est d</w:t>
      </w:r>
      <w:r w:rsidR="00844541">
        <w:rPr>
          <w:lang w:val="fr-FR"/>
        </w:rPr>
        <w:t>’</w:t>
      </w:r>
      <w:r w:rsidR="00AB6D80" w:rsidRPr="00844541">
        <w:rPr>
          <w:lang w:val="fr-FR"/>
        </w:rPr>
        <w:t xml:space="preserve">avis </w:t>
      </w:r>
      <w:r w:rsidR="00210136" w:rsidRPr="00844541">
        <w:rPr>
          <w:lang w:val="fr-FR"/>
        </w:rPr>
        <w:t xml:space="preserve">que la durée de la procédure </w:t>
      </w:r>
      <w:r w:rsidR="00BB7F5D" w:rsidRPr="00844541">
        <w:rPr>
          <w:lang w:val="fr-FR"/>
        </w:rPr>
        <w:t xml:space="preserve">en cause </w:t>
      </w:r>
      <w:r w:rsidR="00210136" w:rsidRPr="00844541">
        <w:rPr>
          <w:lang w:val="fr-FR"/>
        </w:rPr>
        <w:t>est compatible avec la condition de jugement dans un « délai raisonnable ». Pour ce qui est de la période</w:t>
      </w:r>
      <w:r w:rsidR="00690D13" w:rsidRPr="00844541">
        <w:rPr>
          <w:lang w:val="fr-FR"/>
        </w:rPr>
        <w:t xml:space="preserve"> à considérer, il </w:t>
      </w:r>
      <w:r w:rsidR="00BB7F5D" w:rsidRPr="00844541">
        <w:rPr>
          <w:lang w:val="fr-FR"/>
        </w:rPr>
        <w:t xml:space="preserve">indique </w:t>
      </w:r>
      <w:r w:rsidR="00690D13" w:rsidRPr="00844541">
        <w:rPr>
          <w:lang w:val="fr-FR"/>
        </w:rPr>
        <w:t>que</w:t>
      </w:r>
      <w:r w:rsidR="00AB6D80" w:rsidRPr="00844541">
        <w:rPr>
          <w:lang w:val="fr-FR"/>
        </w:rPr>
        <w:t xml:space="preserve"> l</w:t>
      </w:r>
      <w:r w:rsidR="00844541">
        <w:rPr>
          <w:lang w:val="fr-FR"/>
        </w:rPr>
        <w:t>’</w:t>
      </w:r>
      <w:r w:rsidR="00AB6D80" w:rsidRPr="00844541">
        <w:rPr>
          <w:lang w:val="fr-FR"/>
        </w:rPr>
        <w:t xml:space="preserve">affaire a été </w:t>
      </w:r>
      <w:r w:rsidR="00AB6D80" w:rsidRPr="00844541">
        <w:rPr>
          <w:lang w:val="fr-FR"/>
        </w:rPr>
        <w:lastRenderedPageBreak/>
        <w:t>suspendue</w:t>
      </w:r>
      <w:r w:rsidR="00BB7F5D" w:rsidRPr="00844541">
        <w:rPr>
          <w:lang w:val="fr-FR"/>
        </w:rPr>
        <w:t xml:space="preserve"> du 22 février 2002 au 23 mars 2003, soit</w:t>
      </w:r>
      <w:r w:rsidR="00690D13" w:rsidRPr="00844541">
        <w:rPr>
          <w:lang w:val="fr-FR"/>
        </w:rPr>
        <w:t xml:space="preserve"> pendant un an et un mois. </w:t>
      </w:r>
      <w:r w:rsidR="00D472AE" w:rsidRPr="00844541">
        <w:rPr>
          <w:lang w:val="fr-FR"/>
        </w:rPr>
        <w:t>Il estime ensuite que la présente affaire revêt une complexité particulière</w:t>
      </w:r>
      <w:r w:rsidR="00BB7F5D" w:rsidRPr="00844541">
        <w:rPr>
          <w:lang w:val="fr-FR"/>
        </w:rPr>
        <w:t xml:space="preserve"> qui serait liée</w:t>
      </w:r>
      <w:r w:rsidR="001E2917" w:rsidRPr="00844541">
        <w:rPr>
          <w:lang w:val="fr-FR"/>
        </w:rPr>
        <w:t xml:space="preserve"> à</w:t>
      </w:r>
      <w:r w:rsidR="00BB7F5D" w:rsidRPr="00844541">
        <w:rPr>
          <w:lang w:val="fr-FR"/>
        </w:rPr>
        <w:t xml:space="preserve"> </w:t>
      </w:r>
      <w:r w:rsidR="00D472AE" w:rsidRPr="00844541">
        <w:rPr>
          <w:lang w:val="fr-FR"/>
        </w:rPr>
        <w:t>s</w:t>
      </w:r>
      <w:r w:rsidR="006007D3" w:rsidRPr="00844541">
        <w:rPr>
          <w:lang w:val="fr-FR"/>
        </w:rPr>
        <w:t>es</w:t>
      </w:r>
      <w:r w:rsidR="00D472AE" w:rsidRPr="00844541">
        <w:rPr>
          <w:lang w:val="fr-FR"/>
        </w:rPr>
        <w:t xml:space="preserve"> aspect</w:t>
      </w:r>
      <w:r w:rsidR="00111D86" w:rsidRPr="00844541">
        <w:rPr>
          <w:lang w:val="fr-FR"/>
        </w:rPr>
        <w:t>s</w:t>
      </w:r>
      <w:r w:rsidR="00D472AE" w:rsidRPr="00844541">
        <w:rPr>
          <w:lang w:val="fr-FR"/>
        </w:rPr>
        <w:t xml:space="preserve"> de fait et de droit.</w:t>
      </w:r>
      <w:r w:rsidR="00C85718" w:rsidRPr="00844541">
        <w:rPr>
          <w:lang w:val="fr-FR"/>
        </w:rPr>
        <w:t xml:space="preserve"> </w:t>
      </w:r>
      <w:r w:rsidR="00991454" w:rsidRPr="00844541">
        <w:rPr>
          <w:lang w:val="fr-FR"/>
        </w:rPr>
        <w:t>Il</w:t>
      </w:r>
      <w:r w:rsidR="00BB7F5D" w:rsidRPr="00844541">
        <w:rPr>
          <w:lang w:val="fr-FR"/>
        </w:rPr>
        <w:t xml:space="preserve"> soutient enfin qu</w:t>
      </w:r>
      <w:r w:rsidR="00844541">
        <w:rPr>
          <w:lang w:val="fr-FR"/>
        </w:rPr>
        <w:t>’</w:t>
      </w:r>
      <w:r w:rsidR="00BB7F5D" w:rsidRPr="00844541">
        <w:rPr>
          <w:lang w:val="fr-FR"/>
        </w:rPr>
        <w:t>il</w:t>
      </w:r>
      <w:r w:rsidR="00991454" w:rsidRPr="00844541">
        <w:rPr>
          <w:lang w:val="fr-FR"/>
        </w:rPr>
        <w:t xml:space="preserve"> n</w:t>
      </w:r>
      <w:r w:rsidR="00844541">
        <w:rPr>
          <w:lang w:val="fr-FR"/>
        </w:rPr>
        <w:t>’</w:t>
      </w:r>
      <w:r w:rsidR="00991454" w:rsidRPr="00844541">
        <w:rPr>
          <w:lang w:val="fr-FR"/>
        </w:rPr>
        <w:t>y a pas de période d</w:t>
      </w:r>
      <w:r w:rsidR="00844541">
        <w:rPr>
          <w:lang w:val="fr-FR"/>
        </w:rPr>
        <w:t>’</w:t>
      </w:r>
      <w:r w:rsidR="00991454" w:rsidRPr="00844541">
        <w:rPr>
          <w:lang w:val="fr-FR"/>
        </w:rPr>
        <w:t>inactivité ou de retard significatifs à imputer aux juridictions</w:t>
      </w:r>
      <w:r w:rsidR="00C85718" w:rsidRPr="00844541">
        <w:rPr>
          <w:lang w:val="fr-FR"/>
        </w:rPr>
        <w:t xml:space="preserve"> nationales</w:t>
      </w:r>
      <w:r w:rsidR="00991454" w:rsidRPr="00844541">
        <w:rPr>
          <w:lang w:val="fr-FR"/>
        </w:rPr>
        <w:t>.</w:t>
      </w:r>
    </w:p>
    <w:p w:rsidR="00E21F73" w:rsidRPr="00844541" w:rsidRDefault="00E21F73" w:rsidP="00844541">
      <w:pPr>
        <w:pStyle w:val="ECHRHeading4"/>
      </w:pPr>
      <w:r w:rsidRPr="00844541">
        <w:t>b</w:t>
      </w:r>
      <w:r w:rsidR="00875B62" w:rsidRPr="00844541">
        <w:t>)</w:t>
      </w:r>
      <w:r w:rsidR="00C37E41" w:rsidRPr="00844541">
        <w:t>  </w:t>
      </w:r>
      <w:r w:rsidR="00FB27C1" w:rsidRPr="00844541">
        <w:t>L</w:t>
      </w:r>
      <w:r w:rsidR="00844541">
        <w:t>’</w:t>
      </w:r>
      <w:r w:rsidR="00FB27C1" w:rsidRPr="00844541">
        <w:t>a</w:t>
      </w:r>
      <w:r w:rsidRPr="00844541">
        <w:t>ppréciation de la Cour</w:t>
      </w:r>
    </w:p>
    <w:p w:rsidR="00B43D08" w:rsidRPr="00844541" w:rsidRDefault="00FB0B85"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95</w:t>
      </w:r>
      <w:r w:rsidRPr="00844541">
        <w:fldChar w:fldCharType="end"/>
      </w:r>
      <w:r w:rsidRPr="00844541">
        <w:rPr>
          <w:lang w:val="fr-FR"/>
        </w:rPr>
        <w:t>.  </w:t>
      </w:r>
      <w:r w:rsidR="005B63DA" w:rsidRPr="00844541">
        <w:rPr>
          <w:lang w:val="fr-FR"/>
        </w:rPr>
        <w:t>La</w:t>
      </w:r>
      <w:r w:rsidR="00F8057D" w:rsidRPr="00844541">
        <w:rPr>
          <w:lang w:val="fr-FR"/>
        </w:rPr>
        <w:t xml:space="preserve"> Cour note que la</w:t>
      </w:r>
      <w:r w:rsidR="005B63DA" w:rsidRPr="00844541">
        <w:rPr>
          <w:lang w:val="fr-FR"/>
        </w:rPr>
        <w:t xml:space="preserve"> période à considérer a débuté </w:t>
      </w:r>
      <w:r w:rsidR="002533F0" w:rsidRPr="00844541">
        <w:rPr>
          <w:lang w:val="fr-FR"/>
        </w:rPr>
        <w:t xml:space="preserve">pour le deuxième requérant </w:t>
      </w:r>
      <w:r w:rsidR="005B63DA" w:rsidRPr="00844541">
        <w:rPr>
          <w:lang w:val="fr-FR"/>
        </w:rPr>
        <w:t xml:space="preserve">le 23 mai 2001 et </w:t>
      </w:r>
      <w:r w:rsidR="00C9185B" w:rsidRPr="00844541">
        <w:rPr>
          <w:lang w:val="fr-FR"/>
        </w:rPr>
        <w:t>qu</w:t>
      </w:r>
      <w:r w:rsidR="00844541">
        <w:rPr>
          <w:lang w:val="fr-FR"/>
        </w:rPr>
        <w:t>’</w:t>
      </w:r>
      <w:r w:rsidR="00C9185B" w:rsidRPr="00844541">
        <w:rPr>
          <w:lang w:val="fr-FR"/>
        </w:rPr>
        <w:t xml:space="preserve">elle </w:t>
      </w:r>
      <w:r w:rsidR="005B63DA" w:rsidRPr="00844541">
        <w:rPr>
          <w:lang w:val="fr-FR"/>
        </w:rPr>
        <w:t>s</w:t>
      </w:r>
      <w:r w:rsidR="00844541">
        <w:rPr>
          <w:lang w:val="fr-FR"/>
        </w:rPr>
        <w:t>’</w:t>
      </w:r>
      <w:r w:rsidR="005B63DA" w:rsidRPr="00844541">
        <w:rPr>
          <w:lang w:val="fr-FR"/>
        </w:rPr>
        <w:t xml:space="preserve">est terminée le </w:t>
      </w:r>
      <w:r w:rsidR="00BD34E5" w:rsidRPr="00844541">
        <w:rPr>
          <w:lang w:val="fr-FR"/>
        </w:rPr>
        <w:t>15 </w:t>
      </w:r>
      <w:r w:rsidR="005B63DA" w:rsidRPr="00844541">
        <w:rPr>
          <w:lang w:val="fr-FR"/>
        </w:rPr>
        <w:t>juin 2011. Elle a donc duré dix ans et trois semaines environ, pour trois instances.</w:t>
      </w:r>
    </w:p>
    <w:p w:rsidR="00767866" w:rsidRPr="00844541" w:rsidRDefault="004C1AE4" w:rsidP="00844541">
      <w:pPr>
        <w:pStyle w:val="ECHRPara"/>
        <w:rPr>
          <w:noProof/>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96</w:t>
      </w:r>
      <w:r w:rsidRPr="00844541">
        <w:rPr>
          <w:noProof/>
        </w:rPr>
        <w:fldChar w:fldCharType="end"/>
      </w:r>
      <w:r w:rsidR="0093409F" w:rsidRPr="00844541">
        <w:rPr>
          <w:lang w:val="fr-FR"/>
        </w:rPr>
        <w:t>.  </w:t>
      </w:r>
      <w:r w:rsidR="004A3FD0" w:rsidRPr="00844541">
        <w:rPr>
          <w:lang w:val="fr-FR"/>
        </w:rPr>
        <w:t>Pour ce qui est de la période à prendre en considération pour les deux autres requérants, la Cour note que, bien qu</w:t>
      </w:r>
      <w:r w:rsidR="00844541">
        <w:rPr>
          <w:lang w:val="fr-FR"/>
        </w:rPr>
        <w:t>’</w:t>
      </w:r>
      <w:r w:rsidR="004C0A92" w:rsidRPr="00844541">
        <w:rPr>
          <w:lang w:val="fr-FR"/>
        </w:rPr>
        <w:t>ils</w:t>
      </w:r>
      <w:r w:rsidR="004A3FD0" w:rsidRPr="00844541">
        <w:rPr>
          <w:lang w:val="fr-FR"/>
        </w:rPr>
        <w:t xml:space="preserve"> </w:t>
      </w:r>
      <w:r w:rsidR="004C0A92" w:rsidRPr="00844541">
        <w:rPr>
          <w:lang w:val="fr-FR"/>
        </w:rPr>
        <w:t>soient</w:t>
      </w:r>
      <w:r w:rsidR="004A3FD0" w:rsidRPr="00844541">
        <w:rPr>
          <w:lang w:val="fr-FR"/>
        </w:rPr>
        <w:t xml:space="preserve"> mentionnés dans la demande introductive d</w:t>
      </w:r>
      <w:r w:rsidR="00844541">
        <w:rPr>
          <w:lang w:val="fr-FR"/>
        </w:rPr>
        <w:t>’</w:t>
      </w:r>
      <w:r w:rsidR="004A3FD0" w:rsidRPr="00844541">
        <w:rPr>
          <w:lang w:val="fr-FR"/>
        </w:rPr>
        <w:t xml:space="preserve">instance (paragraphe </w:t>
      </w:r>
      <w:r w:rsidR="006D087F" w:rsidRPr="00844541">
        <w:fldChar w:fldCharType="begin"/>
      </w:r>
      <w:r w:rsidR="006D087F" w:rsidRPr="00844541">
        <w:rPr>
          <w:lang w:val="fr-FR"/>
        </w:rPr>
        <w:instrText xml:space="preserve"> REF P19 \h </w:instrText>
      </w:r>
      <w:r w:rsidRPr="00844541">
        <w:rPr>
          <w:lang w:val="fr-FR"/>
        </w:rPr>
        <w:instrText xml:space="preserve"> \* MERGEFORMAT </w:instrText>
      </w:r>
      <w:r w:rsidR="006D087F" w:rsidRPr="00844541">
        <w:fldChar w:fldCharType="separate"/>
      </w:r>
      <w:r w:rsidR="00767866">
        <w:rPr>
          <w:noProof/>
          <w:lang w:val="fr-FR"/>
        </w:rPr>
        <w:t>19</w:t>
      </w:r>
      <w:r w:rsidR="006D087F" w:rsidRPr="00844541">
        <w:fldChar w:fldCharType="end"/>
      </w:r>
      <w:r w:rsidR="006D087F" w:rsidRPr="00844541">
        <w:rPr>
          <w:lang w:val="fr-FR"/>
        </w:rPr>
        <w:t xml:space="preserve"> </w:t>
      </w:r>
      <w:r w:rsidR="004A3FD0" w:rsidRPr="00844541">
        <w:rPr>
          <w:lang w:val="fr-FR"/>
        </w:rPr>
        <w:t>ci-dessus), les juridictions ont jugé dans le première cycle procédural qu</w:t>
      </w:r>
      <w:r w:rsidR="00844541">
        <w:rPr>
          <w:lang w:val="fr-FR"/>
        </w:rPr>
        <w:t>’</w:t>
      </w:r>
      <w:r w:rsidR="004A3FD0" w:rsidRPr="00844541">
        <w:rPr>
          <w:lang w:val="fr-FR"/>
        </w:rPr>
        <w:t>elles avaient été saisies uniquement par le deuxième requérant, et cela bien qu</w:t>
      </w:r>
      <w:r w:rsidR="00844541">
        <w:rPr>
          <w:lang w:val="fr-FR"/>
        </w:rPr>
        <w:t>’</w:t>
      </w:r>
      <w:r w:rsidR="004A3FD0" w:rsidRPr="00844541">
        <w:rPr>
          <w:lang w:val="fr-FR"/>
        </w:rPr>
        <w:t xml:space="preserve">elles aient accepté à examiner le pourvoi en recours formé par la paroisse requérante (paragraphe </w:t>
      </w:r>
      <w:r w:rsidR="003D0232" w:rsidRPr="00844541">
        <w:fldChar w:fldCharType="begin"/>
      </w:r>
      <w:r w:rsidR="003D0232" w:rsidRPr="00844541">
        <w:rPr>
          <w:lang w:val="fr-FR"/>
        </w:rPr>
        <w:instrText xml:space="preserve"> REF H21 \h </w:instrText>
      </w:r>
      <w:r w:rsidRPr="00844541">
        <w:rPr>
          <w:lang w:val="fr-FR"/>
        </w:rPr>
        <w:instrText xml:space="preserve"> \* MERGEFORMAT </w:instrText>
      </w:r>
      <w:r w:rsidR="003D0232" w:rsidRPr="00844541">
        <w:fldChar w:fldCharType="separate"/>
      </w:r>
    </w:p>
    <w:p w:rsidR="00767866" w:rsidRPr="00844541" w:rsidRDefault="00767866" w:rsidP="00844541">
      <w:pPr>
        <w:pStyle w:val="ECHRPara"/>
        <w:rPr>
          <w:noProof/>
          <w:lang w:val="fr-FR"/>
        </w:rPr>
      </w:pPr>
      <w:r>
        <w:rPr>
          <w:noProof/>
          <w:lang w:val="fr-FR"/>
        </w:rPr>
        <w:t>21</w:t>
      </w:r>
      <w:r w:rsidR="003D0232" w:rsidRPr="00844541">
        <w:fldChar w:fldCharType="end"/>
      </w:r>
      <w:r w:rsidR="003D0232" w:rsidRPr="00844541">
        <w:rPr>
          <w:lang w:val="fr-FR"/>
        </w:rPr>
        <w:t xml:space="preserve"> </w:t>
      </w:r>
      <w:r w:rsidR="004A3FD0" w:rsidRPr="00844541">
        <w:rPr>
          <w:lang w:val="fr-FR"/>
        </w:rPr>
        <w:t xml:space="preserve">ci-dessus). </w:t>
      </w:r>
      <w:r w:rsidR="00751A10" w:rsidRPr="00844541">
        <w:rPr>
          <w:lang w:val="fr-FR"/>
        </w:rPr>
        <w:t>Étant donné que devant la Cour, les parties n</w:t>
      </w:r>
      <w:r w:rsidR="00844541">
        <w:rPr>
          <w:lang w:val="fr-FR"/>
        </w:rPr>
        <w:t>’</w:t>
      </w:r>
      <w:r w:rsidR="00751A10" w:rsidRPr="00844541">
        <w:rPr>
          <w:lang w:val="fr-FR"/>
        </w:rPr>
        <w:t xml:space="preserve">ont pas précisé si ces deux requérants avaient ou non qualité pour ester en justice dans le premier cycle procédural, il convient de prendre en compte comme date de départ de la procédure </w:t>
      </w:r>
      <w:r w:rsidR="004C0A92" w:rsidRPr="00844541">
        <w:rPr>
          <w:lang w:val="fr-FR"/>
        </w:rPr>
        <w:t xml:space="preserve">pour ces intéressés la date </w:t>
      </w:r>
      <w:r w:rsidR="00751A10" w:rsidRPr="00844541">
        <w:rPr>
          <w:lang w:val="fr-FR"/>
        </w:rPr>
        <w:t>où l</w:t>
      </w:r>
      <w:r w:rsidR="00844541">
        <w:rPr>
          <w:lang w:val="fr-FR"/>
        </w:rPr>
        <w:t>’</w:t>
      </w:r>
      <w:r w:rsidR="00751A10" w:rsidRPr="00844541">
        <w:rPr>
          <w:lang w:val="fr-FR"/>
        </w:rPr>
        <w:t xml:space="preserve">affaire a été réinscrite au rôle du tribunal départemental en 2006 et </w:t>
      </w:r>
      <w:r w:rsidR="004C0A92" w:rsidRPr="00844541">
        <w:rPr>
          <w:lang w:val="fr-FR"/>
        </w:rPr>
        <w:t>où</w:t>
      </w:r>
      <w:r w:rsidR="00751A10" w:rsidRPr="00844541">
        <w:rPr>
          <w:lang w:val="fr-FR"/>
        </w:rPr>
        <w:t xml:space="preserve"> l</w:t>
      </w:r>
      <w:r w:rsidR="00844541">
        <w:rPr>
          <w:lang w:val="fr-FR"/>
        </w:rPr>
        <w:t>’</w:t>
      </w:r>
      <w:r w:rsidR="00751A10" w:rsidRPr="00844541">
        <w:rPr>
          <w:lang w:val="fr-FR"/>
        </w:rPr>
        <w:t xml:space="preserve">affaire a été complétée par ces parties (paragraphe </w:t>
      </w:r>
      <w:r w:rsidR="006D087F" w:rsidRPr="00844541">
        <w:fldChar w:fldCharType="begin"/>
      </w:r>
      <w:r w:rsidR="006D087F" w:rsidRPr="00844541">
        <w:rPr>
          <w:lang w:val="fr-FR"/>
        </w:rPr>
        <w:instrText xml:space="preserve"> REF P23 \h </w:instrText>
      </w:r>
      <w:r w:rsidR="004C1AE4" w:rsidRPr="00844541">
        <w:rPr>
          <w:lang w:val="fr-FR"/>
        </w:rPr>
        <w:instrText xml:space="preserve"> \* MERGEFORMAT </w:instrText>
      </w:r>
      <w:r w:rsidR="006D087F" w:rsidRPr="00844541">
        <w:fldChar w:fldCharType="separate"/>
      </w:r>
    </w:p>
    <w:p w:rsidR="004A3FD0" w:rsidRPr="00844541" w:rsidRDefault="00767866" w:rsidP="00844541">
      <w:pPr>
        <w:pStyle w:val="ECHRPara"/>
        <w:rPr>
          <w:lang w:val="fr-FR"/>
        </w:rPr>
      </w:pPr>
      <w:r>
        <w:rPr>
          <w:noProof/>
          <w:lang w:val="fr-FR"/>
        </w:rPr>
        <w:t>23</w:t>
      </w:r>
      <w:r w:rsidR="006D087F" w:rsidRPr="00844541">
        <w:fldChar w:fldCharType="end"/>
      </w:r>
      <w:r w:rsidR="006D087F" w:rsidRPr="00844541">
        <w:rPr>
          <w:lang w:val="fr-FR"/>
        </w:rPr>
        <w:t xml:space="preserve"> </w:t>
      </w:r>
      <w:r w:rsidR="00751A10" w:rsidRPr="00844541">
        <w:rPr>
          <w:lang w:val="fr-FR"/>
        </w:rPr>
        <w:t>ci-dessus). Ces faits sont d</w:t>
      </w:r>
      <w:r w:rsidR="00844541">
        <w:rPr>
          <w:lang w:val="fr-FR"/>
        </w:rPr>
        <w:t>’</w:t>
      </w:r>
      <w:r w:rsidR="00751A10" w:rsidRPr="00844541">
        <w:rPr>
          <w:lang w:val="fr-FR"/>
        </w:rPr>
        <w:t>ailleurs précisés dans l</w:t>
      </w:r>
      <w:r w:rsidR="00844541">
        <w:rPr>
          <w:lang w:val="fr-FR"/>
        </w:rPr>
        <w:t>’</w:t>
      </w:r>
      <w:r w:rsidR="00BA5F6D" w:rsidRPr="00844541">
        <w:rPr>
          <w:lang w:val="fr-FR"/>
        </w:rPr>
        <w:t>arrêt</w:t>
      </w:r>
      <w:r w:rsidR="00751A10" w:rsidRPr="00844541">
        <w:rPr>
          <w:lang w:val="fr-FR"/>
        </w:rPr>
        <w:t xml:space="preserve"> de la cour d</w:t>
      </w:r>
      <w:r w:rsidR="00844541">
        <w:rPr>
          <w:lang w:val="fr-FR"/>
        </w:rPr>
        <w:t>’</w:t>
      </w:r>
      <w:r w:rsidR="00751A10" w:rsidRPr="00844541">
        <w:rPr>
          <w:lang w:val="fr-FR"/>
        </w:rPr>
        <w:t xml:space="preserve">appel du 11 juin 2010 </w:t>
      </w:r>
      <w:r w:rsidR="00F9101A" w:rsidRPr="00844541">
        <w:rPr>
          <w:lang w:val="fr-FR"/>
        </w:rPr>
        <w:t xml:space="preserve">(paragraphe </w:t>
      </w:r>
      <w:r w:rsidR="00F9101A" w:rsidRPr="00844541">
        <w:fldChar w:fldCharType="begin"/>
      </w:r>
      <w:r w:rsidR="00F9101A" w:rsidRPr="00844541">
        <w:rPr>
          <w:lang w:val="fr-FR"/>
        </w:rPr>
        <w:instrText xml:space="preserve"> REF P29 \h </w:instrText>
      </w:r>
      <w:r w:rsidR="004C1AE4" w:rsidRPr="00844541">
        <w:rPr>
          <w:lang w:val="fr-FR"/>
        </w:rPr>
        <w:instrText xml:space="preserve"> \* MERGEFORMAT </w:instrText>
      </w:r>
      <w:r w:rsidR="00F9101A" w:rsidRPr="00844541">
        <w:fldChar w:fldCharType="separate"/>
      </w:r>
      <w:r>
        <w:rPr>
          <w:noProof/>
          <w:lang w:val="fr-FR"/>
        </w:rPr>
        <w:t>29</w:t>
      </w:r>
      <w:r w:rsidR="00F9101A" w:rsidRPr="00844541">
        <w:fldChar w:fldCharType="end"/>
      </w:r>
      <w:r w:rsidR="00F9101A" w:rsidRPr="00844541">
        <w:rPr>
          <w:lang w:val="fr-FR"/>
        </w:rPr>
        <w:t xml:space="preserve"> ci</w:t>
      </w:r>
      <w:r w:rsidR="00B22B6F" w:rsidRPr="00844541">
        <w:rPr>
          <w:lang w:val="fr-FR"/>
        </w:rPr>
        <w:noBreakHyphen/>
      </w:r>
      <w:r w:rsidR="00F9101A" w:rsidRPr="00844541">
        <w:rPr>
          <w:lang w:val="fr-FR"/>
        </w:rPr>
        <w:t>dessus)</w:t>
      </w:r>
      <w:r w:rsidR="00751A10" w:rsidRPr="00844541">
        <w:rPr>
          <w:lang w:val="fr-FR"/>
        </w:rPr>
        <w:t xml:space="preserve">. </w:t>
      </w:r>
      <w:r w:rsidR="003B55E4" w:rsidRPr="00844541">
        <w:rPr>
          <w:lang w:val="fr-FR"/>
        </w:rPr>
        <w:t>Il ne fait pas de doute que pour ces requérants la procédure s</w:t>
      </w:r>
      <w:r w:rsidR="00844541">
        <w:rPr>
          <w:lang w:val="fr-FR"/>
        </w:rPr>
        <w:t>’</w:t>
      </w:r>
      <w:r w:rsidR="003B55E4" w:rsidRPr="00844541">
        <w:rPr>
          <w:lang w:val="fr-FR"/>
        </w:rPr>
        <w:t>est également terminée par l</w:t>
      </w:r>
      <w:r w:rsidR="00844541">
        <w:rPr>
          <w:lang w:val="fr-FR"/>
        </w:rPr>
        <w:t>’</w:t>
      </w:r>
      <w:r w:rsidR="003B55E4" w:rsidRPr="00844541">
        <w:rPr>
          <w:lang w:val="fr-FR"/>
        </w:rPr>
        <w:t xml:space="preserve">arrêt définitif de la </w:t>
      </w:r>
      <w:r w:rsidR="00A94E60" w:rsidRPr="00844541">
        <w:rPr>
          <w:lang w:val="fr-FR"/>
        </w:rPr>
        <w:t>H</w:t>
      </w:r>
      <w:r w:rsidR="003B55E4" w:rsidRPr="00844541">
        <w:rPr>
          <w:lang w:val="fr-FR"/>
        </w:rPr>
        <w:t xml:space="preserve">aute Cour du 15 juin 2011. Elle a donc durée </w:t>
      </w:r>
      <w:r w:rsidR="001C20C8" w:rsidRPr="00844541">
        <w:rPr>
          <w:lang w:val="fr-FR"/>
        </w:rPr>
        <w:t>cinq ans environ pour trois degrés de juridiction.</w:t>
      </w:r>
    </w:p>
    <w:p w:rsidR="002533F0" w:rsidRPr="00844541" w:rsidRDefault="004C1AE4"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97</w:t>
      </w:r>
      <w:r w:rsidRPr="00844541">
        <w:rPr>
          <w:noProof/>
        </w:rPr>
        <w:fldChar w:fldCharType="end"/>
      </w:r>
      <w:r w:rsidR="002533F0" w:rsidRPr="00844541">
        <w:rPr>
          <w:lang w:val="fr-FR"/>
        </w:rPr>
        <w:t>.  La Cour rappelle que le caractère raisonnable de la durée d</w:t>
      </w:r>
      <w:r w:rsidR="00844541">
        <w:rPr>
          <w:lang w:val="fr-FR"/>
        </w:rPr>
        <w:t>’</w:t>
      </w:r>
      <w:r w:rsidR="002533F0" w:rsidRPr="00844541">
        <w:rPr>
          <w:lang w:val="fr-FR"/>
        </w:rPr>
        <w:t>une procédure doit s</w:t>
      </w:r>
      <w:r w:rsidR="00844541">
        <w:rPr>
          <w:lang w:val="fr-FR"/>
        </w:rPr>
        <w:t>’</w:t>
      </w:r>
      <w:r w:rsidR="002533F0" w:rsidRPr="00844541">
        <w:rPr>
          <w:lang w:val="fr-FR"/>
        </w:rPr>
        <w:t>apprécier suivant les circonstances de la cause et à l</w:t>
      </w:r>
      <w:r w:rsidR="00844541">
        <w:rPr>
          <w:lang w:val="fr-FR"/>
        </w:rPr>
        <w:t>’</w:t>
      </w:r>
      <w:r w:rsidR="002533F0" w:rsidRPr="00844541">
        <w:rPr>
          <w:lang w:val="fr-FR"/>
        </w:rPr>
        <w:t>aide des critères consacrés par sa jurisprudence, en particulier la complexité de l</w:t>
      </w:r>
      <w:r w:rsidR="00844541">
        <w:rPr>
          <w:lang w:val="fr-FR"/>
        </w:rPr>
        <w:t>’</w:t>
      </w:r>
      <w:r w:rsidR="002533F0" w:rsidRPr="00844541">
        <w:rPr>
          <w:lang w:val="fr-FR"/>
        </w:rPr>
        <w:t>affaire, le comportement du requérant et celui des autorités compétentes ainsi que l</w:t>
      </w:r>
      <w:r w:rsidR="00844541">
        <w:rPr>
          <w:lang w:val="fr-FR"/>
        </w:rPr>
        <w:t>’</w:t>
      </w:r>
      <w:r w:rsidR="002533F0" w:rsidRPr="00844541">
        <w:rPr>
          <w:lang w:val="fr-FR"/>
        </w:rPr>
        <w:t>enjeu du litige pour les intéressés (voir, parmi beaucoup d</w:t>
      </w:r>
      <w:r w:rsidR="00844541">
        <w:rPr>
          <w:lang w:val="fr-FR"/>
        </w:rPr>
        <w:t>’</w:t>
      </w:r>
      <w:r w:rsidR="002533F0" w:rsidRPr="00844541">
        <w:rPr>
          <w:lang w:val="fr-FR"/>
        </w:rPr>
        <w:t>autres,</w:t>
      </w:r>
      <w:r w:rsidR="002533F0" w:rsidRPr="00844541">
        <w:rPr>
          <w:i/>
          <w:lang w:val="fr-FR"/>
        </w:rPr>
        <w:t xml:space="preserve"> Frydlender c. France</w:t>
      </w:r>
      <w:r w:rsidR="002533F0" w:rsidRPr="00844541">
        <w:rPr>
          <w:lang w:val="fr-FR"/>
        </w:rPr>
        <w:t xml:space="preserve"> [GC], n</w:t>
      </w:r>
      <w:r w:rsidR="002533F0" w:rsidRPr="00844541">
        <w:rPr>
          <w:vertAlign w:val="superscript"/>
          <w:lang w:val="fr-FR"/>
        </w:rPr>
        <w:t>o</w:t>
      </w:r>
      <w:r w:rsidR="002533F0" w:rsidRPr="00844541">
        <w:rPr>
          <w:lang w:val="fr-FR"/>
        </w:rPr>
        <w:t xml:space="preserve"> 30979/96, § 43, CEDH 2000</w:t>
      </w:r>
      <w:r w:rsidR="002533F0" w:rsidRPr="00844541">
        <w:rPr>
          <w:lang w:val="fr-FR"/>
        </w:rPr>
        <w:noBreakHyphen/>
        <w:t>VII).</w:t>
      </w:r>
    </w:p>
    <w:p w:rsidR="00767866" w:rsidRPr="00844541" w:rsidRDefault="00FB0B85"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98</w:t>
      </w:r>
      <w:r w:rsidRPr="00844541">
        <w:fldChar w:fldCharType="end"/>
      </w:r>
      <w:r w:rsidRPr="00844541">
        <w:rPr>
          <w:lang w:val="fr-FR"/>
        </w:rPr>
        <w:t>.  </w:t>
      </w:r>
      <w:r w:rsidR="004524B1" w:rsidRPr="00844541">
        <w:rPr>
          <w:lang w:val="fr-FR"/>
        </w:rPr>
        <w:t xml:space="preserve">La Cour </w:t>
      </w:r>
      <w:r w:rsidR="00B97B0C" w:rsidRPr="00844541">
        <w:rPr>
          <w:lang w:val="fr-FR"/>
        </w:rPr>
        <w:t>observe</w:t>
      </w:r>
      <w:r w:rsidR="004524B1" w:rsidRPr="00844541">
        <w:rPr>
          <w:lang w:val="fr-FR"/>
        </w:rPr>
        <w:t xml:space="preserve"> d</w:t>
      </w:r>
      <w:r w:rsidR="00844541">
        <w:rPr>
          <w:lang w:val="fr-FR"/>
        </w:rPr>
        <w:t>’</w:t>
      </w:r>
      <w:r w:rsidR="004524B1" w:rsidRPr="00844541">
        <w:rPr>
          <w:lang w:val="fr-FR"/>
        </w:rPr>
        <w:t>emblée qu</w:t>
      </w:r>
      <w:r w:rsidR="00844541">
        <w:rPr>
          <w:lang w:val="fr-FR"/>
        </w:rPr>
        <w:t>’</w:t>
      </w:r>
      <w:r w:rsidR="00C9185B" w:rsidRPr="00844541">
        <w:rPr>
          <w:lang w:val="fr-FR"/>
        </w:rPr>
        <w:t>en l</w:t>
      </w:r>
      <w:r w:rsidR="00844541">
        <w:rPr>
          <w:lang w:val="fr-FR"/>
        </w:rPr>
        <w:t>’</w:t>
      </w:r>
      <w:r w:rsidR="00C9185B" w:rsidRPr="00844541">
        <w:rPr>
          <w:lang w:val="fr-FR"/>
        </w:rPr>
        <w:t xml:space="preserve">espèce </w:t>
      </w:r>
      <w:r w:rsidR="004524B1" w:rsidRPr="00844541">
        <w:rPr>
          <w:lang w:val="fr-FR"/>
        </w:rPr>
        <w:t xml:space="preserve">aucun retard dans la procédure ne peut être reproché aux requérants. </w:t>
      </w:r>
      <w:r w:rsidR="00B97B0C" w:rsidRPr="00844541">
        <w:rPr>
          <w:lang w:val="fr-FR"/>
        </w:rPr>
        <w:t>L</w:t>
      </w:r>
      <w:r w:rsidR="00844541">
        <w:rPr>
          <w:lang w:val="fr-FR"/>
        </w:rPr>
        <w:t>’</w:t>
      </w:r>
      <w:r w:rsidR="00F8057D" w:rsidRPr="00844541">
        <w:rPr>
          <w:lang w:val="fr-FR"/>
        </w:rPr>
        <w:t xml:space="preserve">affaire </w:t>
      </w:r>
      <w:r w:rsidR="00B97B0C" w:rsidRPr="00844541">
        <w:rPr>
          <w:lang w:val="fr-FR"/>
        </w:rPr>
        <w:t>a été suspendue à plusieurs reprises</w:t>
      </w:r>
      <w:r w:rsidR="00F8057D" w:rsidRPr="00844541">
        <w:rPr>
          <w:lang w:val="fr-FR"/>
        </w:rPr>
        <w:t xml:space="preserve"> afin de permettre aux parties de </w:t>
      </w:r>
      <w:r w:rsidR="00EF60F3" w:rsidRPr="00844541">
        <w:rPr>
          <w:lang w:val="fr-FR"/>
        </w:rPr>
        <w:t>tenter</w:t>
      </w:r>
      <w:r w:rsidR="00F8057D" w:rsidRPr="00844541">
        <w:rPr>
          <w:lang w:val="fr-FR"/>
        </w:rPr>
        <w:t xml:space="preserve"> la procédure amiable prévue par la loi. </w:t>
      </w:r>
      <w:r w:rsidR="004524B1" w:rsidRPr="00844541">
        <w:rPr>
          <w:lang w:val="fr-FR"/>
        </w:rPr>
        <w:t>De même, il convient de noter que</w:t>
      </w:r>
      <w:r w:rsidR="00C9185B" w:rsidRPr="00844541">
        <w:rPr>
          <w:lang w:val="fr-FR"/>
        </w:rPr>
        <w:t>,</w:t>
      </w:r>
      <w:r w:rsidR="004524B1" w:rsidRPr="00844541">
        <w:rPr>
          <w:lang w:val="fr-FR"/>
        </w:rPr>
        <w:t xml:space="preserve"> pendant les premières années, les juridictions nationales saisies ne s</w:t>
      </w:r>
      <w:r w:rsidR="00844541">
        <w:rPr>
          <w:lang w:val="fr-FR"/>
        </w:rPr>
        <w:t>’</w:t>
      </w:r>
      <w:r w:rsidR="004524B1" w:rsidRPr="00844541">
        <w:rPr>
          <w:lang w:val="fr-FR"/>
        </w:rPr>
        <w:t>étaient pas estimées compétentes pour trancher le fond de l</w:t>
      </w:r>
      <w:r w:rsidR="00844541">
        <w:rPr>
          <w:lang w:val="fr-FR"/>
        </w:rPr>
        <w:t>’</w:t>
      </w:r>
      <w:r w:rsidR="004524B1" w:rsidRPr="00844541">
        <w:rPr>
          <w:lang w:val="fr-FR"/>
        </w:rPr>
        <w:t xml:space="preserve">affaire (paragraphes </w:t>
      </w:r>
      <w:r w:rsidR="00D76E21" w:rsidRPr="00844541">
        <w:fldChar w:fldCharType="begin"/>
      </w:r>
      <w:r w:rsidR="00D76E21" w:rsidRPr="00844541">
        <w:rPr>
          <w:lang w:val="fr-FR"/>
        </w:rPr>
        <w:instrText xml:space="preserve"> REF P19 \h </w:instrText>
      </w:r>
      <w:r w:rsidR="003428ED" w:rsidRPr="00844541">
        <w:rPr>
          <w:lang w:val="fr-FR"/>
        </w:rPr>
        <w:instrText xml:space="preserve"> \* MERGEFORMAT </w:instrText>
      </w:r>
      <w:r w:rsidR="00D76E21" w:rsidRPr="00844541">
        <w:fldChar w:fldCharType="separate"/>
      </w:r>
      <w:r w:rsidR="00767866">
        <w:rPr>
          <w:noProof/>
          <w:lang w:val="fr-FR"/>
        </w:rPr>
        <w:t>19</w:t>
      </w:r>
      <w:r w:rsidR="00D76E21" w:rsidRPr="00844541">
        <w:fldChar w:fldCharType="end"/>
      </w:r>
      <w:r w:rsidR="00284865" w:rsidRPr="00844541">
        <w:rPr>
          <w:lang w:val="fr-FR"/>
        </w:rPr>
        <w:t xml:space="preserve"> et</w:t>
      </w:r>
      <w:r w:rsidR="00D76E21" w:rsidRPr="00844541">
        <w:rPr>
          <w:lang w:val="fr-FR"/>
        </w:rPr>
        <w:t xml:space="preserve"> </w:t>
      </w:r>
      <w:r w:rsidR="00284865" w:rsidRPr="00844541">
        <w:fldChar w:fldCharType="begin"/>
      </w:r>
      <w:r w:rsidR="00284865" w:rsidRPr="00844541">
        <w:rPr>
          <w:lang w:val="fr-FR"/>
        </w:rPr>
        <w:instrText xml:space="preserve"> REF P20 \h  \* MERGEFORMAT </w:instrText>
      </w:r>
      <w:r w:rsidR="00284865" w:rsidRPr="00844541">
        <w:fldChar w:fldCharType="separate"/>
      </w:r>
    </w:p>
    <w:p w:rsidR="00767866" w:rsidRPr="00844541" w:rsidRDefault="00767866" w:rsidP="00844541">
      <w:pPr>
        <w:pStyle w:val="ECHRPara"/>
        <w:rPr>
          <w:noProof/>
          <w:lang w:val="fr-FR"/>
        </w:rPr>
      </w:pPr>
      <w:r>
        <w:rPr>
          <w:noProof/>
          <w:lang w:val="fr-FR"/>
        </w:rPr>
        <w:t>20</w:t>
      </w:r>
      <w:r w:rsidR="00284865" w:rsidRPr="00844541">
        <w:fldChar w:fldCharType="end"/>
      </w:r>
      <w:r w:rsidR="00284865" w:rsidRPr="00844541">
        <w:rPr>
          <w:lang w:val="fr-FR"/>
        </w:rPr>
        <w:t xml:space="preserve"> </w:t>
      </w:r>
      <w:r w:rsidR="004524B1" w:rsidRPr="00844541">
        <w:rPr>
          <w:lang w:val="fr-FR"/>
        </w:rPr>
        <w:t>ci</w:t>
      </w:r>
      <w:r w:rsidR="00B22B6F" w:rsidRPr="00844541">
        <w:rPr>
          <w:lang w:val="fr-FR"/>
        </w:rPr>
        <w:noBreakHyphen/>
      </w:r>
      <w:r w:rsidR="004524B1" w:rsidRPr="00844541">
        <w:rPr>
          <w:lang w:val="fr-FR"/>
        </w:rPr>
        <w:t xml:space="preserve">dessus). Par la suite, </w:t>
      </w:r>
      <w:r w:rsidR="00D3499E" w:rsidRPr="00844541">
        <w:rPr>
          <w:lang w:val="fr-FR"/>
        </w:rPr>
        <w:t xml:space="preserve">après que les trois requérants </w:t>
      </w:r>
      <w:r w:rsidR="000F5339" w:rsidRPr="00844541">
        <w:rPr>
          <w:lang w:val="fr-FR"/>
        </w:rPr>
        <w:t>étaient</w:t>
      </w:r>
      <w:r w:rsidR="00D3499E" w:rsidRPr="00844541">
        <w:rPr>
          <w:lang w:val="fr-FR"/>
        </w:rPr>
        <w:t xml:space="preserve"> </w:t>
      </w:r>
      <w:r w:rsidR="001C5D3C" w:rsidRPr="00844541">
        <w:rPr>
          <w:lang w:val="fr-FR"/>
        </w:rPr>
        <w:t>devenus</w:t>
      </w:r>
      <w:r w:rsidR="00D3499E" w:rsidRPr="00844541">
        <w:rPr>
          <w:lang w:val="fr-FR"/>
        </w:rPr>
        <w:t xml:space="preserve"> parties à la procédure, </w:t>
      </w:r>
      <w:r w:rsidR="004524B1" w:rsidRPr="00844541">
        <w:rPr>
          <w:lang w:val="fr-FR"/>
        </w:rPr>
        <w:t>il a été nécessaire de poursuivre la procédure devant la commission mi</w:t>
      </w:r>
      <w:r w:rsidR="00F710BD" w:rsidRPr="00844541">
        <w:rPr>
          <w:lang w:val="fr-FR"/>
        </w:rPr>
        <w:t xml:space="preserve">xte, bien que les tribunaux </w:t>
      </w:r>
      <w:r w:rsidR="00C9185B" w:rsidRPr="00844541">
        <w:rPr>
          <w:lang w:val="fr-FR"/>
        </w:rPr>
        <w:t xml:space="preserve">eussent </w:t>
      </w:r>
      <w:r w:rsidR="004524B1" w:rsidRPr="00844541">
        <w:rPr>
          <w:lang w:val="fr-FR"/>
        </w:rPr>
        <w:t xml:space="preserve">déjà </w:t>
      </w:r>
      <w:r w:rsidR="00C9185B" w:rsidRPr="00844541">
        <w:rPr>
          <w:lang w:val="fr-FR"/>
        </w:rPr>
        <w:t xml:space="preserve">été </w:t>
      </w:r>
      <w:r w:rsidR="004524B1" w:rsidRPr="00844541">
        <w:rPr>
          <w:lang w:val="fr-FR"/>
        </w:rPr>
        <w:t xml:space="preserve">saisis du fond </w:t>
      </w:r>
      <w:r w:rsidR="004524B1" w:rsidRPr="00844541">
        <w:rPr>
          <w:lang w:val="fr-FR"/>
        </w:rPr>
        <w:lastRenderedPageBreak/>
        <w:t>de l</w:t>
      </w:r>
      <w:r w:rsidR="00844541">
        <w:rPr>
          <w:lang w:val="fr-FR"/>
        </w:rPr>
        <w:t>’</w:t>
      </w:r>
      <w:r w:rsidR="004524B1" w:rsidRPr="00844541">
        <w:rPr>
          <w:lang w:val="fr-FR"/>
        </w:rPr>
        <w:t xml:space="preserve">affaire (paragraphe </w:t>
      </w:r>
      <w:r w:rsidR="00DB788D" w:rsidRPr="00844541">
        <w:fldChar w:fldCharType="begin"/>
      </w:r>
      <w:r w:rsidR="00DB788D" w:rsidRPr="00844541">
        <w:rPr>
          <w:lang w:val="fr-FR"/>
        </w:rPr>
        <w:instrText xml:space="preserve"> REF P21 \h </w:instrText>
      </w:r>
      <w:r w:rsidR="003428ED" w:rsidRPr="00844541">
        <w:rPr>
          <w:lang w:val="fr-FR"/>
        </w:rPr>
        <w:instrText xml:space="preserve"> \* MERGEFORMAT </w:instrText>
      </w:r>
      <w:r w:rsidR="00DB788D" w:rsidRPr="00844541">
        <w:fldChar w:fldCharType="separate"/>
      </w:r>
      <w:r>
        <w:rPr>
          <w:noProof/>
          <w:lang w:val="fr-FR"/>
        </w:rPr>
        <w:t>24</w:t>
      </w:r>
      <w:r w:rsidR="00DB788D" w:rsidRPr="00844541">
        <w:fldChar w:fldCharType="end"/>
      </w:r>
      <w:r w:rsidR="00DB788D" w:rsidRPr="00844541">
        <w:rPr>
          <w:lang w:val="fr-FR"/>
        </w:rPr>
        <w:t xml:space="preserve"> </w:t>
      </w:r>
      <w:r w:rsidR="00FB0B85" w:rsidRPr="00844541">
        <w:rPr>
          <w:lang w:val="fr-FR"/>
        </w:rPr>
        <w:t>ci-dessus)</w:t>
      </w:r>
      <w:r w:rsidR="00266942" w:rsidRPr="00844541">
        <w:rPr>
          <w:lang w:val="fr-FR"/>
        </w:rPr>
        <w:t xml:space="preserve">. </w:t>
      </w:r>
      <w:r w:rsidR="009845E0" w:rsidRPr="00844541">
        <w:rPr>
          <w:lang w:val="fr-FR"/>
        </w:rPr>
        <w:t>À</w:t>
      </w:r>
      <w:r w:rsidR="00266942" w:rsidRPr="00844541">
        <w:rPr>
          <w:lang w:val="fr-FR"/>
        </w:rPr>
        <w:t xml:space="preserve"> cela s</w:t>
      </w:r>
      <w:r w:rsidR="00844541">
        <w:rPr>
          <w:lang w:val="fr-FR"/>
        </w:rPr>
        <w:t>’</w:t>
      </w:r>
      <w:r w:rsidR="00266942" w:rsidRPr="00844541">
        <w:rPr>
          <w:lang w:val="fr-FR"/>
        </w:rPr>
        <w:t>ajoute le fait qu</w:t>
      </w:r>
      <w:r w:rsidR="00844541">
        <w:rPr>
          <w:lang w:val="fr-FR"/>
        </w:rPr>
        <w:t>’</w:t>
      </w:r>
      <w:r w:rsidR="00FB0B85" w:rsidRPr="00844541">
        <w:rPr>
          <w:lang w:val="fr-FR"/>
        </w:rPr>
        <w:t xml:space="preserve">un jugement a été annulé pour vice de forme (paragraphe </w:t>
      </w:r>
      <w:r w:rsidR="0073119C" w:rsidRPr="00844541">
        <w:fldChar w:fldCharType="begin"/>
      </w:r>
      <w:r w:rsidR="0073119C" w:rsidRPr="00844541">
        <w:rPr>
          <w:lang w:val="fr-FR"/>
        </w:rPr>
        <w:instrText xml:space="preserve"> REF P23 \h </w:instrText>
      </w:r>
      <w:r w:rsidR="003428ED" w:rsidRPr="00844541">
        <w:rPr>
          <w:lang w:val="fr-FR"/>
        </w:rPr>
        <w:instrText xml:space="preserve"> \* MERGEFORMAT </w:instrText>
      </w:r>
      <w:r w:rsidR="0073119C" w:rsidRPr="00844541">
        <w:fldChar w:fldCharType="separate"/>
      </w:r>
    </w:p>
    <w:p w:rsidR="00A55131" w:rsidRPr="00844541" w:rsidRDefault="00767866" w:rsidP="00844541">
      <w:pPr>
        <w:pStyle w:val="ECHRPara"/>
        <w:rPr>
          <w:lang w:val="fr-FR"/>
        </w:rPr>
      </w:pPr>
      <w:r>
        <w:rPr>
          <w:noProof/>
          <w:lang w:val="fr-FR"/>
        </w:rPr>
        <w:t>23</w:t>
      </w:r>
      <w:r w:rsidR="0073119C" w:rsidRPr="00844541">
        <w:fldChar w:fldCharType="end"/>
      </w:r>
      <w:r w:rsidR="0073119C" w:rsidRPr="00844541">
        <w:rPr>
          <w:lang w:val="fr-FR"/>
        </w:rPr>
        <w:t xml:space="preserve"> </w:t>
      </w:r>
      <w:r w:rsidR="00FB0B85" w:rsidRPr="00844541">
        <w:rPr>
          <w:lang w:val="fr-FR"/>
        </w:rPr>
        <w:t xml:space="preserve">ci-dessus). </w:t>
      </w:r>
      <w:r w:rsidR="00F8057D" w:rsidRPr="00844541">
        <w:rPr>
          <w:lang w:val="fr-FR"/>
        </w:rPr>
        <w:t>Partant, la Cour conclut que l</w:t>
      </w:r>
      <w:r w:rsidR="006007D3" w:rsidRPr="00844541">
        <w:rPr>
          <w:lang w:val="fr-FR"/>
        </w:rPr>
        <w:t>a</w:t>
      </w:r>
      <w:r w:rsidR="00F8057D" w:rsidRPr="00844541">
        <w:rPr>
          <w:lang w:val="fr-FR"/>
        </w:rPr>
        <w:t xml:space="preserve"> prolong</w:t>
      </w:r>
      <w:r w:rsidR="006007D3" w:rsidRPr="00844541">
        <w:rPr>
          <w:lang w:val="fr-FR"/>
        </w:rPr>
        <w:t>ation</w:t>
      </w:r>
      <w:r w:rsidR="00F8057D" w:rsidRPr="00844541">
        <w:rPr>
          <w:lang w:val="fr-FR"/>
        </w:rPr>
        <w:t xml:space="preserve"> de la procédure est essentiellement imputable aux autorités nationales.</w:t>
      </w:r>
    </w:p>
    <w:p w:rsidR="00F13AED" w:rsidRPr="00844541" w:rsidRDefault="004C1AE4"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99</w:t>
      </w:r>
      <w:r w:rsidRPr="00844541">
        <w:rPr>
          <w:noProof/>
        </w:rPr>
        <w:fldChar w:fldCharType="end"/>
      </w:r>
      <w:r w:rsidR="000F5339" w:rsidRPr="00844541">
        <w:rPr>
          <w:lang w:val="fr-FR"/>
        </w:rPr>
        <w:t>.  </w:t>
      </w:r>
      <w:r w:rsidR="00DA1592" w:rsidRPr="00844541">
        <w:rPr>
          <w:lang w:val="fr-FR"/>
        </w:rPr>
        <w:t>S</w:t>
      </w:r>
      <w:r w:rsidR="00844541">
        <w:rPr>
          <w:lang w:val="fr-FR"/>
        </w:rPr>
        <w:t>’</w:t>
      </w:r>
      <w:r w:rsidR="00DA1592" w:rsidRPr="00844541">
        <w:rPr>
          <w:lang w:val="fr-FR"/>
        </w:rPr>
        <w:t>il est vrai que pour la paroisse requérante et le troisième requérant la procédure a duré moins de temps que pour le deuxième requérant, la Cour ne peut s</w:t>
      </w:r>
      <w:r w:rsidR="00844541">
        <w:rPr>
          <w:lang w:val="fr-FR"/>
        </w:rPr>
        <w:t>’</w:t>
      </w:r>
      <w:r w:rsidR="00DA1592" w:rsidRPr="00844541">
        <w:rPr>
          <w:lang w:val="fr-FR"/>
        </w:rPr>
        <w:t>empêcher de constater que les premiers ont été mentionnés dans la demande introductive d</w:t>
      </w:r>
      <w:r w:rsidR="00844541">
        <w:rPr>
          <w:lang w:val="fr-FR"/>
        </w:rPr>
        <w:t>’</w:t>
      </w:r>
      <w:r w:rsidR="00DA1592" w:rsidRPr="00844541">
        <w:rPr>
          <w:lang w:val="fr-FR"/>
        </w:rPr>
        <w:t xml:space="preserve">instance (paragraphe 19 ci-dessus) et que la paroisse requérante a participé activement au déroulement de la procédure (paragraphe 21 </w:t>
      </w:r>
      <w:r w:rsidR="00DA1592" w:rsidRPr="00844541">
        <w:rPr>
          <w:i/>
          <w:iCs/>
          <w:lang w:val="fr-FR"/>
        </w:rPr>
        <w:t>in fine</w:t>
      </w:r>
      <w:r w:rsidR="00DA1592" w:rsidRPr="00844541">
        <w:rPr>
          <w:lang w:val="fr-FR"/>
        </w:rPr>
        <w:t xml:space="preserve"> ci-dessus). La Cour note également que, lorsque ces deux requérants sont intervenus dans la procédure (paragraphe 23 ci</w:t>
      </w:r>
      <w:r w:rsidR="00B22B6F" w:rsidRPr="00844541">
        <w:rPr>
          <w:lang w:val="fr-FR"/>
        </w:rPr>
        <w:noBreakHyphen/>
      </w:r>
      <w:r w:rsidR="00DA1592" w:rsidRPr="00844541">
        <w:rPr>
          <w:lang w:val="fr-FR"/>
        </w:rPr>
        <w:t>dessus), l</w:t>
      </w:r>
      <w:r w:rsidR="00844541">
        <w:rPr>
          <w:lang w:val="fr-FR"/>
        </w:rPr>
        <w:t>’</w:t>
      </w:r>
      <w:r w:rsidR="00DA1592" w:rsidRPr="00844541">
        <w:rPr>
          <w:lang w:val="fr-FR"/>
        </w:rPr>
        <w:t>affaire était déjà pendante depuis cinq ans devant les juridictions internes. Par la suite, il a fallu trois ans aux juridictions internes pour rendre un premier jugement valable sur le fond de l</w:t>
      </w:r>
      <w:r w:rsidR="00844541">
        <w:rPr>
          <w:lang w:val="fr-FR"/>
        </w:rPr>
        <w:t>’</w:t>
      </w:r>
      <w:r w:rsidR="00DA1592" w:rsidRPr="00844541">
        <w:rPr>
          <w:lang w:val="fr-FR"/>
        </w:rPr>
        <w:t>affaire et deux années supplémentaires environ pour rendre un arrêt définitif.</w:t>
      </w:r>
    </w:p>
    <w:p w:rsidR="00B43D08" w:rsidRPr="00844541" w:rsidRDefault="00FB0B85"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100</w:t>
      </w:r>
      <w:r w:rsidRPr="00844541">
        <w:fldChar w:fldCharType="end"/>
      </w:r>
      <w:r w:rsidRPr="00844541">
        <w:rPr>
          <w:lang w:val="fr-FR"/>
        </w:rPr>
        <w:t>.  </w:t>
      </w:r>
      <w:r w:rsidR="00304C85" w:rsidRPr="00844541">
        <w:rPr>
          <w:lang w:val="fr-FR"/>
        </w:rPr>
        <w:t>Ayant</w:t>
      </w:r>
      <w:r w:rsidR="004524B1" w:rsidRPr="00844541">
        <w:rPr>
          <w:lang w:val="fr-FR"/>
        </w:rPr>
        <w:t xml:space="preserve"> examiné tous les éléments qui lui ont été soumis et </w:t>
      </w:r>
      <w:r w:rsidR="00F5623F" w:rsidRPr="00844541">
        <w:rPr>
          <w:lang w:val="fr-FR"/>
        </w:rPr>
        <w:t>tenant compte</w:t>
      </w:r>
      <w:r w:rsidR="004524B1" w:rsidRPr="00844541">
        <w:rPr>
          <w:lang w:val="fr-FR"/>
        </w:rPr>
        <w:t xml:space="preserve"> de sa jurisprudence en la matière, la Cour est d</w:t>
      </w:r>
      <w:r w:rsidR="00844541">
        <w:rPr>
          <w:lang w:val="fr-FR"/>
        </w:rPr>
        <w:t>’</w:t>
      </w:r>
      <w:r w:rsidR="004524B1" w:rsidRPr="00844541">
        <w:rPr>
          <w:lang w:val="fr-FR"/>
        </w:rPr>
        <w:t>avis que la cause des requérants n</w:t>
      </w:r>
      <w:r w:rsidR="00844541">
        <w:rPr>
          <w:lang w:val="fr-FR"/>
        </w:rPr>
        <w:t>’</w:t>
      </w:r>
      <w:r w:rsidR="004524B1" w:rsidRPr="00844541">
        <w:rPr>
          <w:lang w:val="fr-FR"/>
        </w:rPr>
        <w:t>a pas été entendue dans un délai raisonnable.</w:t>
      </w:r>
    </w:p>
    <w:p w:rsidR="004524B1" w:rsidRPr="00844541" w:rsidRDefault="00C9185B" w:rsidP="00844541">
      <w:pPr>
        <w:pStyle w:val="ECHRPara"/>
        <w:rPr>
          <w:lang w:val="fr-FR"/>
        </w:rPr>
      </w:pPr>
      <w:r w:rsidRPr="00844541">
        <w:rPr>
          <w:lang w:val="fr-FR"/>
        </w:rPr>
        <w:t>Partant</w:t>
      </w:r>
      <w:r w:rsidR="004524B1" w:rsidRPr="00844541">
        <w:rPr>
          <w:lang w:val="fr-FR"/>
        </w:rPr>
        <w:t>, il y a eu violation de l</w:t>
      </w:r>
      <w:r w:rsidR="00844541">
        <w:rPr>
          <w:lang w:val="fr-FR"/>
        </w:rPr>
        <w:t>’</w:t>
      </w:r>
      <w:r w:rsidR="004524B1" w:rsidRPr="00844541">
        <w:rPr>
          <w:lang w:val="fr-FR"/>
        </w:rPr>
        <w:t>article 6 § 1</w:t>
      </w:r>
      <w:r w:rsidRPr="00844541">
        <w:rPr>
          <w:lang w:val="fr-FR"/>
        </w:rPr>
        <w:t xml:space="preserve"> de la Convention</w:t>
      </w:r>
      <w:r w:rsidR="00E03F18" w:rsidRPr="00844541">
        <w:rPr>
          <w:lang w:val="fr-FR"/>
        </w:rPr>
        <w:t xml:space="preserve"> sur ce point</w:t>
      </w:r>
      <w:r w:rsidR="004524B1" w:rsidRPr="00844541">
        <w:rPr>
          <w:lang w:val="fr-FR"/>
        </w:rPr>
        <w:t>.</w:t>
      </w:r>
    </w:p>
    <w:p w:rsidR="00B43D08" w:rsidRPr="00844541" w:rsidRDefault="003842D4" w:rsidP="00844541">
      <w:pPr>
        <w:pStyle w:val="ECHRHeading1"/>
      </w:pPr>
      <w:r w:rsidRPr="00844541">
        <w:t>II.  SUR LA VIOLATION ALLÉGUÉE DE L</w:t>
      </w:r>
      <w:r w:rsidR="00844541">
        <w:t>’</w:t>
      </w:r>
      <w:r w:rsidRPr="00844541">
        <w:t>ARTICLE 14 DE LA CONVENTION</w:t>
      </w:r>
      <w:r w:rsidR="004D2828" w:rsidRPr="00844541">
        <w:t xml:space="preserve"> EN </w:t>
      </w:r>
      <w:r w:rsidRPr="00844541">
        <w:t>COMBIN</w:t>
      </w:r>
      <w:r w:rsidR="004D2828" w:rsidRPr="00844541">
        <w:t>AISON</w:t>
      </w:r>
      <w:r w:rsidRPr="00844541">
        <w:t xml:space="preserve"> AVEC L</w:t>
      </w:r>
      <w:r w:rsidR="00844541">
        <w:t>’</w:t>
      </w:r>
      <w:r w:rsidRPr="00844541">
        <w:t>ARTICLE 6 § 1</w:t>
      </w:r>
      <w:r w:rsidR="00C3345F" w:rsidRPr="00844541">
        <w:t xml:space="preserve"> DE LA CONVENTION</w:t>
      </w:r>
    </w:p>
    <w:p w:rsidR="003842D4" w:rsidRPr="00844541" w:rsidRDefault="00524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101</w:t>
      </w:r>
      <w:r w:rsidRPr="00844541">
        <w:fldChar w:fldCharType="end"/>
      </w:r>
      <w:r w:rsidRPr="00844541">
        <w:rPr>
          <w:lang w:val="fr-FR"/>
        </w:rPr>
        <w:t>.  </w:t>
      </w:r>
      <w:r w:rsidR="003842D4" w:rsidRPr="00844541">
        <w:rPr>
          <w:lang w:val="fr-FR"/>
        </w:rPr>
        <w:t xml:space="preserve">Les requérants </w:t>
      </w:r>
      <w:r w:rsidR="004046BE" w:rsidRPr="00844541">
        <w:rPr>
          <w:lang w:val="fr-FR"/>
        </w:rPr>
        <w:t>soutiennent qu</w:t>
      </w:r>
      <w:r w:rsidR="00844541">
        <w:rPr>
          <w:lang w:val="fr-FR"/>
        </w:rPr>
        <w:t>’</w:t>
      </w:r>
      <w:r w:rsidR="004046BE" w:rsidRPr="00844541">
        <w:rPr>
          <w:lang w:val="fr-FR"/>
        </w:rPr>
        <w:t>ils ont</w:t>
      </w:r>
      <w:r w:rsidR="00E07E95" w:rsidRPr="00844541">
        <w:rPr>
          <w:lang w:val="fr-FR"/>
        </w:rPr>
        <w:t xml:space="preserve"> s</w:t>
      </w:r>
      <w:r w:rsidR="003842D4" w:rsidRPr="00844541">
        <w:rPr>
          <w:lang w:val="fr-FR"/>
        </w:rPr>
        <w:t>ubi une discrimination dans leur</w:t>
      </w:r>
      <w:r w:rsidR="00E07E95" w:rsidRPr="00844541">
        <w:rPr>
          <w:lang w:val="fr-FR"/>
        </w:rPr>
        <w:t xml:space="preserve"> droit</w:t>
      </w:r>
      <w:r w:rsidR="00643579" w:rsidRPr="00844541">
        <w:rPr>
          <w:lang w:val="fr-FR"/>
        </w:rPr>
        <w:t xml:space="preserve"> d</w:t>
      </w:r>
      <w:r w:rsidR="00844541">
        <w:rPr>
          <w:lang w:val="fr-FR"/>
        </w:rPr>
        <w:t>’</w:t>
      </w:r>
      <w:r w:rsidR="00643579" w:rsidRPr="00844541">
        <w:rPr>
          <w:lang w:val="fr-FR"/>
        </w:rPr>
        <w:t>accès à un tribunal</w:t>
      </w:r>
      <w:r w:rsidR="00E07E95" w:rsidRPr="00844541">
        <w:rPr>
          <w:lang w:val="fr-FR"/>
        </w:rPr>
        <w:t xml:space="preserve"> garanti par l</w:t>
      </w:r>
      <w:r w:rsidR="00844541">
        <w:rPr>
          <w:lang w:val="fr-FR"/>
        </w:rPr>
        <w:t>’</w:t>
      </w:r>
      <w:r w:rsidR="00E07E95" w:rsidRPr="00844541">
        <w:rPr>
          <w:lang w:val="fr-FR"/>
        </w:rPr>
        <w:t xml:space="preserve">article 6 § 1 de la Convention, </w:t>
      </w:r>
      <w:r w:rsidR="004046BE" w:rsidRPr="00844541">
        <w:rPr>
          <w:lang w:val="fr-FR"/>
        </w:rPr>
        <w:t xml:space="preserve">discrimination qui </w:t>
      </w:r>
      <w:r w:rsidR="00F5623F" w:rsidRPr="00844541">
        <w:rPr>
          <w:lang w:val="fr-FR"/>
        </w:rPr>
        <w:t>était</w:t>
      </w:r>
      <w:r w:rsidR="004046BE" w:rsidRPr="00844541">
        <w:rPr>
          <w:lang w:val="fr-FR"/>
        </w:rPr>
        <w:t xml:space="preserve"> fondée</w:t>
      </w:r>
      <w:r w:rsidR="00F5623F" w:rsidRPr="00844541">
        <w:rPr>
          <w:lang w:val="fr-FR"/>
        </w:rPr>
        <w:t>, selon eux,</w:t>
      </w:r>
      <w:r w:rsidR="004046BE" w:rsidRPr="00844541">
        <w:rPr>
          <w:lang w:val="fr-FR"/>
        </w:rPr>
        <w:t xml:space="preserve"> sur</w:t>
      </w:r>
      <w:r w:rsidR="00E527AC" w:rsidRPr="00844541">
        <w:rPr>
          <w:lang w:val="fr-FR"/>
        </w:rPr>
        <w:t xml:space="preserve"> leur</w:t>
      </w:r>
      <w:r w:rsidR="00E07E95" w:rsidRPr="00844541">
        <w:rPr>
          <w:lang w:val="fr-FR"/>
        </w:rPr>
        <w:t xml:space="preserve"> appartenance à une religion minoritaire dans le pays.</w:t>
      </w:r>
      <w:r w:rsidR="003842D4" w:rsidRPr="00844541">
        <w:rPr>
          <w:lang w:val="fr-FR"/>
        </w:rPr>
        <w:t xml:space="preserve"> Ils invoquent l</w:t>
      </w:r>
      <w:r w:rsidR="00844541">
        <w:rPr>
          <w:lang w:val="fr-FR"/>
        </w:rPr>
        <w:t>’</w:t>
      </w:r>
      <w:r w:rsidR="003842D4" w:rsidRPr="00844541">
        <w:rPr>
          <w:lang w:val="fr-FR"/>
        </w:rPr>
        <w:t>article 14 de la Convention, ainsi libellé :</w:t>
      </w:r>
    </w:p>
    <w:p w:rsidR="003842D4" w:rsidRPr="00844541" w:rsidRDefault="003842D4" w:rsidP="00844541">
      <w:pPr>
        <w:pStyle w:val="ECHRParaQuote"/>
      </w:pPr>
      <w:r w:rsidRPr="00844541">
        <w:t>« La jouissance des droits et libertés reconnus dans la (...) Convention doit être assurée, sans distinction aucune, fondée notamment sur le sexe, la race, la couleur, la langue, la religion, les opinions politiques ou toutes autres opinions, l</w:t>
      </w:r>
      <w:r w:rsidR="00844541">
        <w:t>’</w:t>
      </w:r>
      <w:r w:rsidRPr="00844541">
        <w:t>origine nationale ou sociale, l</w:t>
      </w:r>
      <w:r w:rsidR="00844541">
        <w:t>’</w:t>
      </w:r>
      <w:r w:rsidRPr="00844541">
        <w:t>appartenance à une minorité nationale, la fortune, la naissance ou toute autre situation. »</w:t>
      </w:r>
    </w:p>
    <w:p w:rsidR="00ED220D" w:rsidRPr="00844541" w:rsidRDefault="00ED220D" w:rsidP="00844541">
      <w:pPr>
        <w:pStyle w:val="ECHRHeading2"/>
      </w:pPr>
      <w:r w:rsidRPr="00844541">
        <w:t>A.  Sur la recevabilité</w:t>
      </w:r>
    </w:p>
    <w:p w:rsidR="00ED220D" w:rsidRPr="00844541" w:rsidRDefault="00AA632A"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102</w:t>
      </w:r>
      <w:r w:rsidRPr="00844541">
        <w:rPr>
          <w:noProof/>
        </w:rPr>
        <w:fldChar w:fldCharType="end"/>
      </w:r>
      <w:r w:rsidR="00ED220D" w:rsidRPr="00844541">
        <w:rPr>
          <w:lang w:val="fr-FR"/>
        </w:rPr>
        <w:t>.  </w:t>
      </w:r>
      <w:r w:rsidR="004046BE" w:rsidRPr="00844541">
        <w:rPr>
          <w:lang w:val="fr-FR"/>
        </w:rPr>
        <w:t>C</w:t>
      </w:r>
      <w:r w:rsidR="00ED220D" w:rsidRPr="00844541">
        <w:rPr>
          <w:lang w:val="fr-FR"/>
        </w:rPr>
        <w:t>onstat</w:t>
      </w:r>
      <w:r w:rsidR="004046BE" w:rsidRPr="00844541">
        <w:rPr>
          <w:lang w:val="fr-FR"/>
        </w:rPr>
        <w:t>ant</w:t>
      </w:r>
      <w:r w:rsidR="00ED220D" w:rsidRPr="00844541">
        <w:rPr>
          <w:lang w:val="fr-FR"/>
        </w:rPr>
        <w:t xml:space="preserve"> que </w:t>
      </w:r>
      <w:r w:rsidR="00ED220D" w:rsidRPr="00844541">
        <w:rPr>
          <w:rStyle w:val="ECHRParaChar"/>
          <w:lang w:val="fr-FR"/>
        </w:rPr>
        <w:t xml:space="preserve">ce grief </w:t>
      </w:r>
      <w:r w:rsidR="00ED220D" w:rsidRPr="00844541">
        <w:rPr>
          <w:lang w:val="fr-FR"/>
        </w:rPr>
        <w:t>n</w:t>
      </w:r>
      <w:r w:rsidR="00844541">
        <w:rPr>
          <w:lang w:val="fr-FR"/>
        </w:rPr>
        <w:t>’</w:t>
      </w:r>
      <w:r w:rsidR="00ED220D" w:rsidRPr="00844541">
        <w:rPr>
          <w:lang w:val="fr-FR"/>
        </w:rPr>
        <w:t>est pas manifestement mal fondé au sens de l</w:t>
      </w:r>
      <w:r w:rsidR="00844541">
        <w:rPr>
          <w:lang w:val="fr-FR"/>
        </w:rPr>
        <w:t>’</w:t>
      </w:r>
      <w:r w:rsidR="00ED220D" w:rsidRPr="00844541">
        <w:rPr>
          <w:lang w:val="fr-FR"/>
        </w:rPr>
        <w:t>article 35 § 3 a) de la Convention</w:t>
      </w:r>
      <w:r w:rsidR="004046BE" w:rsidRPr="00844541">
        <w:rPr>
          <w:lang w:val="fr-FR"/>
        </w:rPr>
        <w:t xml:space="preserve"> et </w:t>
      </w:r>
      <w:r w:rsidR="00ED220D" w:rsidRPr="00844541">
        <w:rPr>
          <w:lang w:val="fr-FR"/>
        </w:rPr>
        <w:t>qu</w:t>
      </w:r>
      <w:r w:rsidR="00844541">
        <w:rPr>
          <w:lang w:val="fr-FR"/>
        </w:rPr>
        <w:t>’</w:t>
      </w:r>
      <w:r w:rsidR="00ED220D" w:rsidRPr="00844541">
        <w:rPr>
          <w:lang w:val="fr-FR"/>
        </w:rPr>
        <w:t>il ne se heurte à aucun autre motif d</w:t>
      </w:r>
      <w:r w:rsidR="00844541">
        <w:rPr>
          <w:lang w:val="fr-FR"/>
        </w:rPr>
        <w:t>’</w:t>
      </w:r>
      <w:r w:rsidR="00ED220D" w:rsidRPr="00844541">
        <w:rPr>
          <w:lang w:val="fr-FR"/>
        </w:rPr>
        <w:t>irrecevabilité</w:t>
      </w:r>
      <w:r w:rsidR="004046BE" w:rsidRPr="00844541">
        <w:rPr>
          <w:lang w:val="fr-FR"/>
        </w:rPr>
        <w:t>, la Cour</w:t>
      </w:r>
      <w:r w:rsidR="00ED220D" w:rsidRPr="00844541">
        <w:rPr>
          <w:lang w:val="fr-FR"/>
        </w:rPr>
        <w:t xml:space="preserve"> le déclare recevable.</w:t>
      </w:r>
    </w:p>
    <w:p w:rsidR="00ED220D" w:rsidRPr="00844541" w:rsidRDefault="00ED220D" w:rsidP="00844541">
      <w:pPr>
        <w:pStyle w:val="ECHRHeading2"/>
      </w:pPr>
      <w:r w:rsidRPr="00844541">
        <w:lastRenderedPageBreak/>
        <w:t>B.  Sur le fond</w:t>
      </w:r>
    </w:p>
    <w:p w:rsidR="009845E0" w:rsidRPr="00844541" w:rsidRDefault="009845E0" w:rsidP="00844541">
      <w:pPr>
        <w:pStyle w:val="ECHRHeading3"/>
      </w:pPr>
      <w:r w:rsidRPr="00844541">
        <w:t>1.</w:t>
      </w:r>
      <w:r w:rsidR="00C37E41" w:rsidRPr="00844541">
        <w:t>  </w:t>
      </w:r>
      <w:r w:rsidRPr="00844541">
        <w:t>Les arguments des parties</w:t>
      </w:r>
    </w:p>
    <w:p w:rsidR="00A21B55" w:rsidRPr="00844541" w:rsidRDefault="00A21B55" w:rsidP="00844541">
      <w:pPr>
        <w:pStyle w:val="ECHRHeading4"/>
      </w:pPr>
      <w:r w:rsidRPr="00844541">
        <w:t>a)</w:t>
      </w:r>
      <w:r w:rsidR="00C37E41" w:rsidRPr="00844541">
        <w:t>  </w:t>
      </w:r>
      <w:r w:rsidRPr="00844541">
        <w:t>Les requérants</w:t>
      </w:r>
    </w:p>
    <w:p w:rsidR="00B43D08" w:rsidRPr="00844541" w:rsidRDefault="00AA632A"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103</w:t>
      </w:r>
      <w:r w:rsidRPr="00844541">
        <w:rPr>
          <w:noProof/>
        </w:rPr>
        <w:fldChar w:fldCharType="end"/>
      </w:r>
      <w:r w:rsidR="00ED220D" w:rsidRPr="00844541">
        <w:rPr>
          <w:lang w:val="fr-FR"/>
        </w:rPr>
        <w:t>.  </w:t>
      </w:r>
      <w:r w:rsidR="000F5CE9" w:rsidRPr="00844541">
        <w:rPr>
          <w:lang w:val="fr-FR"/>
        </w:rPr>
        <w:t>Les requérants estime</w:t>
      </w:r>
      <w:r w:rsidR="003C412B" w:rsidRPr="00844541">
        <w:rPr>
          <w:lang w:val="fr-FR"/>
        </w:rPr>
        <w:t>nt</w:t>
      </w:r>
      <w:r w:rsidR="000F5CE9" w:rsidRPr="00844541">
        <w:rPr>
          <w:lang w:val="fr-FR"/>
        </w:rPr>
        <w:t xml:space="preserve"> </w:t>
      </w:r>
      <w:r w:rsidR="00AE2633" w:rsidRPr="00844541">
        <w:rPr>
          <w:lang w:val="fr-FR"/>
        </w:rPr>
        <w:t>avoir fait l</w:t>
      </w:r>
      <w:r w:rsidR="00844541">
        <w:rPr>
          <w:lang w:val="fr-FR"/>
        </w:rPr>
        <w:t>’</w:t>
      </w:r>
      <w:r w:rsidR="00AE2633" w:rsidRPr="00844541">
        <w:rPr>
          <w:lang w:val="fr-FR"/>
        </w:rPr>
        <w:t>objet d</w:t>
      </w:r>
      <w:r w:rsidR="00844541">
        <w:rPr>
          <w:lang w:val="fr-FR"/>
        </w:rPr>
        <w:t>’</w:t>
      </w:r>
      <w:r w:rsidR="00AE2633" w:rsidRPr="00844541">
        <w:rPr>
          <w:lang w:val="fr-FR"/>
        </w:rPr>
        <w:t xml:space="preserve">une discrimination fondée sur la religion dans la mesure où </w:t>
      </w:r>
      <w:r w:rsidR="000F5CE9" w:rsidRPr="00844541">
        <w:rPr>
          <w:lang w:val="fr-FR"/>
        </w:rPr>
        <w:t xml:space="preserve">les dispositions </w:t>
      </w:r>
      <w:r w:rsidR="00892BA9" w:rsidRPr="00844541">
        <w:rPr>
          <w:lang w:val="fr-FR"/>
        </w:rPr>
        <w:t>du décret-loi n</w:t>
      </w:r>
      <w:r w:rsidR="00892BA9" w:rsidRPr="00844541">
        <w:rPr>
          <w:vertAlign w:val="superscript"/>
          <w:lang w:val="fr-FR"/>
        </w:rPr>
        <w:t>o</w:t>
      </w:r>
      <w:r w:rsidR="00E527AC" w:rsidRPr="00844541">
        <w:rPr>
          <w:lang w:val="fr-FR"/>
        </w:rPr>
        <w:t> </w:t>
      </w:r>
      <w:r w:rsidR="00892BA9" w:rsidRPr="00844541">
        <w:rPr>
          <w:lang w:val="fr-FR"/>
        </w:rPr>
        <w:t>126/1990 établi</w:t>
      </w:r>
      <w:r w:rsidR="00B64085" w:rsidRPr="00844541">
        <w:rPr>
          <w:lang w:val="fr-FR"/>
        </w:rPr>
        <w:t>rai</w:t>
      </w:r>
      <w:r w:rsidR="00892BA9" w:rsidRPr="00844541">
        <w:rPr>
          <w:lang w:val="fr-FR"/>
        </w:rPr>
        <w:t xml:space="preserve">ent </w:t>
      </w:r>
      <w:r w:rsidR="00AE2633" w:rsidRPr="00844541">
        <w:rPr>
          <w:lang w:val="fr-FR"/>
        </w:rPr>
        <w:t xml:space="preserve">la volonté des fidèles détenteurs du bien revendiqué </w:t>
      </w:r>
      <w:r w:rsidR="00892BA9" w:rsidRPr="00844541">
        <w:rPr>
          <w:lang w:val="fr-FR"/>
        </w:rPr>
        <w:t xml:space="preserve">comme critère </w:t>
      </w:r>
      <w:r w:rsidR="00AE2633" w:rsidRPr="00844541">
        <w:rPr>
          <w:lang w:val="fr-FR"/>
        </w:rPr>
        <w:t xml:space="preserve">pour </w:t>
      </w:r>
      <w:r w:rsidR="00F5623F" w:rsidRPr="00844541">
        <w:rPr>
          <w:lang w:val="fr-FR"/>
        </w:rPr>
        <w:t xml:space="preserve">fixer </w:t>
      </w:r>
      <w:r w:rsidR="00414014" w:rsidRPr="00844541">
        <w:rPr>
          <w:lang w:val="fr-FR"/>
        </w:rPr>
        <w:t>la situation juridique des lieux d</w:t>
      </w:r>
      <w:r w:rsidR="00BD16ED" w:rsidRPr="00844541">
        <w:rPr>
          <w:lang w:val="fr-FR"/>
        </w:rPr>
        <w:t>e</w:t>
      </w:r>
      <w:r w:rsidR="00414014" w:rsidRPr="00844541">
        <w:rPr>
          <w:lang w:val="fr-FR"/>
        </w:rPr>
        <w:t xml:space="preserve"> culte</w:t>
      </w:r>
      <w:r w:rsidR="00892BA9" w:rsidRPr="00844541">
        <w:rPr>
          <w:lang w:val="fr-FR"/>
        </w:rPr>
        <w:t xml:space="preserve">. </w:t>
      </w:r>
      <w:r w:rsidR="00B64085" w:rsidRPr="00844541">
        <w:rPr>
          <w:lang w:val="fr-FR"/>
        </w:rPr>
        <w:t>Ils indiquent que, s</w:t>
      </w:r>
      <w:r w:rsidR="00892BA9" w:rsidRPr="00844541">
        <w:rPr>
          <w:lang w:val="fr-FR"/>
        </w:rPr>
        <w:t>i</w:t>
      </w:r>
      <w:r w:rsidR="00B64085" w:rsidRPr="00844541">
        <w:rPr>
          <w:lang w:val="fr-FR"/>
        </w:rPr>
        <w:t>,</w:t>
      </w:r>
      <w:r w:rsidR="00892BA9" w:rsidRPr="00844541">
        <w:rPr>
          <w:lang w:val="fr-FR"/>
        </w:rPr>
        <w:t xml:space="preserve"> en théorie</w:t>
      </w:r>
      <w:r w:rsidR="00B64085" w:rsidRPr="00844541">
        <w:rPr>
          <w:lang w:val="fr-FR"/>
        </w:rPr>
        <w:t>,</w:t>
      </w:r>
      <w:r w:rsidR="00892BA9" w:rsidRPr="00844541">
        <w:rPr>
          <w:lang w:val="fr-FR"/>
        </w:rPr>
        <w:t xml:space="preserve"> ce critère para</w:t>
      </w:r>
      <w:r w:rsidR="00412021" w:rsidRPr="00844541">
        <w:rPr>
          <w:lang w:val="fr-FR"/>
        </w:rPr>
        <w:t>î</w:t>
      </w:r>
      <w:r w:rsidR="00892BA9" w:rsidRPr="00844541">
        <w:rPr>
          <w:lang w:val="fr-FR"/>
        </w:rPr>
        <w:t xml:space="preserve">t </w:t>
      </w:r>
      <w:r w:rsidR="00412021" w:rsidRPr="00844541">
        <w:rPr>
          <w:lang w:val="fr-FR"/>
        </w:rPr>
        <w:t>pouvoir être</w:t>
      </w:r>
      <w:r w:rsidR="00892BA9" w:rsidRPr="00844541">
        <w:rPr>
          <w:lang w:val="fr-FR"/>
        </w:rPr>
        <w:t xml:space="preserve"> fav</w:t>
      </w:r>
      <w:r w:rsidR="00412021" w:rsidRPr="00844541">
        <w:rPr>
          <w:lang w:val="fr-FR"/>
        </w:rPr>
        <w:t>orable aux</w:t>
      </w:r>
      <w:r w:rsidR="00892BA9" w:rsidRPr="00844541">
        <w:rPr>
          <w:lang w:val="fr-FR"/>
        </w:rPr>
        <w:t xml:space="preserve"> deux </w:t>
      </w:r>
      <w:r w:rsidR="00414014" w:rsidRPr="00844541">
        <w:rPr>
          <w:lang w:val="fr-FR"/>
        </w:rPr>
        <w:t>partie</w:t>
      </w:r>
      <w:r w:rsidR="00F51367" w:rsidRPr="00844541">
        <w:rPr>
          <w:lang w:val="fr-FR"/>
        </w:rPr>
        <w:t>s</w:t>
      </w:r>
      <w:r w:rsidR="00414014" w:rsidRPr="00844541">
        <w:rPr>
          <w:lang w:val="fr-FR"/>
        </w:rPr>
        <w:t xml:space="preserve"> en litige</w:t>
      </w:r>
      <w:r w:rsidR="00892BA9" w:rsidRPr="00844541">
        <w:rPr>
          <w:lang w:val="fr-FR"/>
        </w:rPr>
        <w:t>, en réalité l</w:t>
      </w:r>
      <w:r w:rsidR="00844541">
        <w:rPr>
          <w:lang w:val="fr-FR"/>
        </w:rPr>
        <w:t>’</w:t>
      </w:r>
      <w:r w:rsidR="00892BA9" w:rsidRPr="00844541">
        <w:rPr>
          <w:lang w:val="fr-FR"/>
        </w:rPr>
        <w:t>Église gréco-catholique ne dét</w:t>
      </w:r>
      <w:r w:rsidR="00414014" w:rsidRPr="00844541">
        <w:rPr>
          <w:lang w:val="fr-FR"/>
        </w:rPr>
        <w:t>ien</w:t>
      </w:r>
      <w:r w:rsidR="00B64085" w:rsidRPr="00844541">
        <w:rPr>
          <w:lang w:val="fr-FR"/>
        </w:rPr>
        <w:t>t</w:t>
      </w:r>
      <w:r w:rsidR="00414014" w:rsidRPr="00844541">
        <w:rPr>
          <w:lang w:val="fr-FR"/>
        </w:rPr>
        <w:t xml:space="preserve"> aucun </w:t>
      </w:r>
      <w:r w:rsidR="00892BA9" w:rsidRPr="00844541">
        <w:rPr>
          <w:lang w:val="fr-FR"/>
        </w:rPr>
        <w:t>lieu de culte</w:t>
      </w:r>
      <w:r w:rsidR="00414014" w:rsidRPr="00844541">
        <w:rPr>
          <w:lang w:val="fr-FR"/>
        </w:rPr>
        <w:t>, tous ces biens se trouvant</w:t>
      </w:r>
      <w:r w:rsidR="00B64085" w:rsidRPr="00844541">
        <w:rPr>
          <w:lang w:val="fr-FR"/>
        </w:rPr>
        <w:t>, selon les requérants,</w:t>
      </w:r>
      <w:r w:rsidR="00414014" w:rsidRPr="00844541">
        <w:rPr>
          <w:lang w:val="fr-FR"/>
        </w:rPr>
        <w:t xml:space="preserve"> </w:t>
      </w:r>
      <w:r w:rsidR="00DD39C7" w:rsidRPr="00844541">
        <w:rPr>
          <w:lang w:val="fr-FR"/>
        </w:rPr>
        <w:t>dans le patrimoine de l</w:t>
      </w:r>
      <w:r w:rsidR="00844541">
        <w:rPr>
          <w:lang w:val="fr-FR"/>
        </w:rPr>
        <w:t>’</w:t>
      </w:r>
      <w:r w:rsidR="00DD39C7" w:rsidRPr="00844541">
        <w:rPr>
          <w:lang w:val="fr-FR"/>
        </w:rPr>
        <w:t xml:space="preserve">Église orthodoxe. </w:t>
      </w:r>
      <w:r w:rsidR="00B64085" w:rsidRPr="00844541">
        <w:rPr>
          <w:lang w:val="fr-FR"/>
        </w:rPr>
        <w:t>Ils exposent que c</w:t>
      </w:r>
      <w:r w:rsidR="00844541">
        <w:rPr>
          <w:lang w:val="fr-FR"/>
        </w:rPr>
        <w:t>’</w:t>
      </w:r>
      <w:r w:rsidR="00B64085" w:rsidRPr="00844541">
        <w:rPr>
          <w:lang w:val="fr-FR"/>
        </w:rPr>
        <w:t>est p</w:t>
      </w:r>
      <w:r w:rsidR="00BB0DA7" w:rsidRPr="00844541">
        <w:rPr>
          <w:lang w:val="fr-FR"/>
        </w:rPr>
        <w:t>our cette raison</w:t>
      </w:r>
      <w:r w:rsidR="00B64085" w:rsidRPr="00844541">
        <w:rPr>
          <w:lang w:val="fr-FR"/>
        </w:rPr>
        <w:t xml:space="preserve"> que</w:t>
      </w:r>
      <w:r w:rsidR="00BB0DA7" w:rsidRPr="00844541">
        <w:rPr>
          <w:lang w:val="fr-FR"/>
        </w:rPr>
        <w:t xml:space="preserve"> la partie orthodoxe n</w:t>
      </w:r>
      <w:r w:rsidR="00844541">
        <w:rPr>
          <w:lang w:val="fr-FR"/>
        </w:rPr>
        <w:t>’</w:t>
      </w:r>
      <w:r w:rsidR="00BB0DA7" w:rsidRPr="00844541">
        <w:rPr>
          <w:lang w:val="fr-FR"/>
        </w:rPr>
        <w:t>a</w:t>
      </w:r>
      <w:r w:rsidR="00B64085" w:rsidRPr="00844541">
        <w:rPr>
          <w:lang w:val="fr-FR"/>
        </w:rPr>
        <w:t>ur</w:t>
      </w:r>
      <w:r w:rsidR="00BB0DA7" w:rsidRPr="00844541">
        <w:rPr>
          <w:lang w:val="fr-FR"/>
        </w:rPr>
        <w:t xml:space="preserve">ait </w:t>
      </w:r>
      <w:r w:rsidR="00B64085" w:rsidRPr="00844541">
        <w:rPr>
          <w:lang w:val="fr-FR"/>
        </w:rPr>
        <w:t xml:space="preserve">eu </w:t>
      </w:r>
      <w:r w:rsidR="00BB0DA7" w:rsidRPr="00844541">
        <w:rPr>
          <w:lang w:val="fr-FR"/>
        </w:rPr>
        <w:t xml:space="preserve">aucun intérêt à participer </w:t>
      </w:r>
      <w:r w:rsidR="00412021" w:rsidRPr="00844541">
        <w:rPr>
          <w:lang w:val="fr-FR"/>
        </w:rPr>
        <w:t>aux</w:t>
      </w:r>
      <w:r w:rsidR="00BB0DA7" w:rsidRPr="00844541">
        <w:rPr>
          <w:lang w:val="fr-FR"/>
        </w:rPr>
        <w:t xml:space="preserve"> commissions mixtes et a</w:t>
      </w:r>
      <w:r w:rsidR="00B64085" w:rsidRPr="00844541">
        <w:rPr>
          <w:lang w:val="fr-FR"/>
        </w:rPr>
        <w:t>urait</w:t>
      </w:r>
      <w:r w:rsidR="00BB0DA7" w:rsidRPr="00844541">
        <w:rPr>
          <w:lang w:val="fr-FR"/>
        </w:rPr>
        <w:t xml:space="preserve"> </w:t>
      </w:r>
      <w:r w:rsidR="00EE44BF" w:rsidRPr="00844541">
        <w:rPr>
          <w:lang w:val="fr-FR"/>
        </w:rPr>
        <w:t xml:space="preserve">longtemps </w:t>
      </w:r>
      <w:r w:rsidR="00BB0DA7" w:rsidRPr="00844541">
        <w:rPr>
          <w:lang w:val="fr-FR"/>
        </w:rPr>
        <w:t>bloqué l</w:t>
      </w:r>
      <w:r w:rsidR="00844541">
        <w:rPr>
          <w:lang w:val="fr-FR"/>
        </w:rPr>
        <w:t>’</w:t>
      </w:r>
      <w:r w:rsidR="00BB0DA7" w:rsidRPr="00844541">
        <w:rPr>
          <w:lang w:val="fr-FR"/>
        </w:rPr>
        <w:t>accès des parties intéressé</w:t>
      </w:r>
      <w:r w:rsidR="00F7247A" w:rsidRPr="00844541">
        <w:rPr>
          <w:lang w:val="fr-FR"/>
        </w:rPr>
        <w:t>e</w:t>
      </w:r>
      <w:r w:rsidR="00BB0DA7" w:rsidRPr="00844541">
        <w:rPr>
          <w:lang w:val="fr-FR"/>
        </w:rPr>
        <w:t>s au tribunal.</w:t>
      </w:r>
    </w:p>
    <w:p w:rsidR="0034172E"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104</w:t>
      </w:r>
      <w:r w:rsidRPr="00844541">
        <w:rPr>
          <w:noProof/>
        </w:rPr>
        <w:fldChar w:fldCharType="end"/>
      </w:r>
      <w:r w:rsidR="00723E95" w:rsidRPr="00844541">
        <w:rPr>
          <w:lang w:val="fr-FR"/>
        </w:rPr>
        <w:t>.  </w:t>
      </w:r>
      <w:r w:rsidR="0034172E" w:rsidRPr="00844541">
        <w:rPr>
          <w:lang w:val="fr-FR"/>
        </w:rPr>
        <w:t xml:space="preserve">Dans leurs observations complémentaires, les requérants </w:t>
      </w:r>
      <w:r w:rsidR="004C4406" w:rsidRPr="00844541">
        <w:rPr>
          <w:lang w:val="fr-FR"/>
        </w:rPr>
        <w:t>ajoutent que</w:t>
      </w:r>
      <w:r w:rsidR="00203D1A" w:rsidRPr="00844541">
        <w:rPr>
          <w:lang w:val="fr-FR"/>
        </w:rPr>
        <w:t xml:space="preserve"> </w:t>
      </w:r>
      <w:r w:rsidR="0034172E" w:rsidRPr="00844541">
        <w:rPr>
          <w:lang w:val="fr-FR"/>
        </w:rPr>
        <w:t xml:space="preserve">la partie orthodoxe </w:t>
      </w:r>
      <w:r w:rsidR="00203D1A" w:rsidRPr="00844541">
        <w:rPr>
          <w:lang w:val="fr-FR"/>
        </w:rPr>
        <w:t xml:space="preserve">a </w:t>
      </w:r>
      <w:r w:rsidR="0034172E" w:rsidRPr="00844541">
        <w:rPr>
          <w:lang w:val="fr-FR"/>
        </w:rPr>
        <w:t>obt</w:t>
      </w:r>
      <w:r w:rsidR="00203D1A" w:rsidRPr="00844541">
        <w:rPr>
          <w:lang w:val="fr-FR"/>
        </w:rPr>
        <w:t>enu</w:t>
      </w:r>
      <w:r w:rsidR="0034172E" w:rsidRPr="00844541">
        <w:rPr>
          <w:lang w:val="fr-FR"/>
        </w:rPr>
        <w:t xml:space="preserve"> gain de cause </w:t>
      </w:r>
      <w:r w:rsidR="00070009" w:rsidRPr="00844541">
        <w:rPr>
          <w:lang w:val="fr-FR"/>
        </w:rPr>
        <w:t xml:space="preserve">grâce à </w:t>
      </w:r>
      <w:r w:rsidR="0034172E" w:rsidRPr="00844541">
        <w:rPr>
          <w:lang w:val="fr-FR"/>
        </w:rPr>
        <w:t>l</w:t>
      </w:r>
      <w:r w:rsidR="00844541">
        <w:rPr>
          <w:lang w:val="fr-FR"/>
        </w:rPr>
        <w:t>’</w:t>
      </w:r>
      <w:r w:rsidR="0034172E" w:rsidRPr="00844541">
        <w:rPr>
          <w:lang w:val="fr-FR"/>
        </w:rPr>
        <w:t xml:space="preserve">application du critère de la volonté des </w:t>
      </w:r>
      <w:r w:rsidR="00C5666C" w:rsidRPr="00844541">
        <w:rPr>
          <w:lang w:val="fr-FR"/>
        </w:rPr>
        <w:t>fidèles</w:t>
      </w:r>
      <w:r w:rsidR="0034172E" w:rsidRPr="00844541">
        <w:rPr>
          <w:lang w:val="fr-FR"/>
        </w:rPr>
        <w:t xml:space="preserve">. </w:t>
      </w:r>
      <w:r w:rsidR="004C4406" w:rsidRPr="00844541">
        <w:rPr>
          <w:lang w:val="fr-FR"/>
        </w:rPr>
        <w:t>Ils</w:t>
      </w:r>
      <w:r w:rsidR="0034172E" w:rsidRPr="00844541">
        <w:rPr>
          <w:lang w:val="fr-FR"/>
        </w:rPr>
        <w:t xml:space="preserve"> considèrent que la </w:t>
      </w:r>
      <w:r w:rsidR="00590D2E" w:rsidRPr="00844541">
        <w:rPr>
          <w:lang w:val="fr-FR"/>
        </w:rPr>
        <w:t xml:space="preserve">réduction de la </w:t>
      </w:r>
      <w:r w:rsidR="0034172E" w:rsidRPr="00844541">
        <w:rPr>
          <w:lang w:val="fr-FR"/>
        </w:rPr>
        <w:t xml:space="preserve">compétence des tribunaux à </w:t>
      </w:r>
      <w:r w:rsidR="005C53DB" w:rsidRPr="00844541">
        <w:rPr>
          <w:lang w:val="fr-FR"/>
        </w:rPr>
        <w:t xml:space="preserve">la constatation </w:t>
      </w:r>
      <w:r w:rsidR="0034172E" w:rsidRPr="00844541">
        <w:rPr>
          <w:lang w:val="fr-FR"/>
        </w:rPr>
        <w:t>formel</w:t>
      </w:r>
      <w:r w:rsidR="005C53DB" w:rsidRPr="00844541">
        <w:rPr>
          <w:lang w:val="fr-FR"/>
        </w:rPr>
        <w:t>le</w:t>
      </w:r>
      <w:r w:rsidR="0034172E" w:rsidRPr="00844541">
        <w:rPr>
          <w:lang w:val="fr-FR"/>
        </w:rPr>
        <w:t xml:space="preserve"> de la volonté de l</w:t>
      </w:r>
      <w:r w:rsidR="00844541">
        <w:rPr>
          <w:lang w:val="fr-FR"/>
        </w:rPr>
        <w:t>’</w:t>
      </w:r>
      <w:r w:rsidR="0034172E" w:rsidRPr="00844541">
        <w:rPr>
          <w:lang w:val="fr-FR"/>
        </w:rPr>
        <w:t xml:space="preserve">une des parties en litige </w:t>
      </w:r>
      <w:r w:rsidR="00203D1A" w:rsidRPr="00844541">
        <w:rPr>
          <w:lang w:val="fr-FR"/>
        </w:rPr>
        <w:t>a eu pour effet de rendre leur droit d</w:t>
      </w:r>
      <w:r w:rsidR="00844541">
        <w:rPr>
          <w:lang w:val="fr-FR"/>
        </w:rPr>
        <w:t>’</w:t>
      </w:r>
      <w:r w:rsidR="00203D1A" w:rsidRPr="00844541">
        <w:rPr>
          <w:lang w:val="fr-FR"/>
        </w:rPr>
        <w:t>accès à un tribunal illusoire</w:t>
      </w:r>
      <w:r w:rsidR="0034172E" w:rsidRPr="00844541">
        <w:rPr>
          <w:lang w:val="fr-FR"/>
        </w:rPr>
        <w:t xml:space="preserve">. Ils </w:t>
      </w:r>
      <w:r w:rsidR="005C53DB" w:rsidRPr="00844541">
        <w:rPr>
          <w:lang w:val="fr-FR"/>
        </w:rPr>
        <w:t xml:space="preserve">précisent </w:t>
      </w:r>
      <w:r w:rsidR="0034172E" w:rsidRPr="00844541">
        <w:rPr>
          <w:lang w:val="fr-FR"/>
        </w:rPr>
        <w:t>que</w:t>
      </w:r>
      <w:r w:rsidR="00203D1A" w:rsidRPr="00844541">
        <w:rPr>
          <w:lang w:val="fr-FR"/>
        </w:rPr>
        <w:t>, dans des affaires similaires,</w:t>
      </w:r>
      <w:r w:rsidR="0034172E" w:rsidRPr="00844541">
        <w:rPr>
          <w:lang w:val="fr-FR"/>
        </w:rPr>
        <w:t xml:space="preserve"> certaines juridictions ont </w:t>
      </w:r>
      <w:r w:rsidR="00203D1A" w:rsidRPr="00844541">
        <w:rPr>
          <w:lang w:val="fr-FR"/>
        </w:rPr>
        <w:t xml:space="preserve">procédé à </w:t>
      </w:r>
      <w:r w:rsidR="0034172E" w:rsidRPr="00844541">
        <w:rPr>
          <w:lang w:val="fr-FR"/>
        </w:rPr>
        <w:t xml:space="preserve">une comparaison des titres </w:t>
      </w:r>
      <w:r w:rsidR="00AE2633" w:rsidRPr="00844541">
        <w:rPr>
          <w:lang w:val="fr-FR"/>
        </w:rPr>
        <w:t xml:space="preserve">de propriété </w:t>
      </w:r>
      <w:r w:rsidR="0034172E" w:rsidRPr="00844541">
        <w:rPr>
          <w:lang w:val="fr-FR"/>
        </w:rPr>
        <w:t xml:space="preserve">sans prendre en considération la volonté des </w:t>
      </w:r>
      <w:r w:rsidR="00203D1A" w:rsidRPr="00844541">
        <w:rPr>
          <w:lang w:val="fr-FR"/>
        </w:rPr>
        <w:t xml:space="preserve">fidèles </w:t>
      </w:r>
      <w:r w:rsidR="0034172E" w:rsidRPr="00844541">
        <w:rPr>
          <w:lang w:val="fr-FR"/>
        </w:rPr>
        <w:t>détenteurs du bien</w:t>
      </w:r>
      <w:r w:rsidR="005C53DB" w:rsidRPr="00844541">
        <w:rPr>
          <w:lang w:val="fr-FR"/>
        </w:rPr>
        <w:t xml:space="preserve"> et qu</w:t>
      </w:r>
      <w:r w:rsidR="00844541">
        <w:rPr>
          <w:lang w:val="fr-FR"/>
        </w:rPr>
        <w:t>’</w:t>
      </w:r>
      <w:r w:rsidR="00203D1A" w:rsidRPr="00844541">
        <w:rPr>
          <w:lang w:val="fr-FR"/>
        </w:rPr>
        <w:t>eux-mêmes</w:t>
      </w:r>
      <w:r w:rsidR="005C53DB" w:rsidRPr="00844541">
        <w:rPr>
          <w:lang w:val="fr-FR"/>
        </w:rPr>
        <w:t xml:space="preserve"> ont dès lors</w:t>
      </w:r>
      <w:r w:rsidR="00C5666C" w:rsidRPr="00844541">
        <w:rPr>
          <w:lang w:val="fr-FR"/>
        </w:rPr>
        <w:t xml:space="preserve"> subi une discrimination par rapport à d</w:t>
      </w:r>
      <w:r w:rsidR="00844541">
        <w:rPr>
          <w:lang w:val="fr-FR"/>
        </w:rPr>
        <w:t>’</w:t>
      </w:r>
      <w:r w:rsidR="00C5666C" w:rsidRPr="00844541">
        <w:rPr>
          <w:lang w:val="fr-FR"/>
        </w:rPr>
        <w:t>autres paroisses gréco</w:t>
      </w:r>
      <w:r w:rsidR="00B22B6F" w:rsidRPr="00844541">
        <w:rPr>
          <w:lang w:val="fr-FR"/>
        </w:rPr>
        <w:noBreakHyphen/>
      </w:r>
      <w:r w:rsidR="00C5666C" w:rsidRPr="00844541">
        <w:rPr>
          <w:lang w:val="fr-FR"/>
        </w:rPr>
        <w:t xml:space="preserve">catholiques </w:t>
      </w:r>
      <w:r w:rsidR="00A24512" w:rsidRPr="00844541">
        <w:rPr>
          <w:lang w:val="fr-FR"/>
        </w:rPr>
        <w:t>confronté</w:t>
      </w:r>
      <w:r w:rsidR="00203D1A" w:rsidRPr="00844541">
        <w:rPr>
          <w:lang w:val="fr-FR"/>
        </w:rPr>
        <w:t>e</w:t>
      </w:r>
      <w:r w:rsidR="00A24512" w:rsidRPr="00844541">
        <w:rPr>
          <w:lang w:val="fr-FR"/>
        </w:rPr>
        <w:t>s à</w:t>
      </w:r>
      <w:r w:rsidR="00C5666C" w:rsidRPr="00844541">
        <w:rPr>
          <w:lang w:val="fr-FR"/>
        </w:rPr>
        <w:t xml:space="preserve"> la même situation qu</w:t>
      </w:r>
      <w:r w:rsidR="00844541">
        <w:rPr>
          <w:lang w:val="fr-FR"/>
        </w:rPr>
        <w:t>’</w:t>
      </w:r>
      <w:r w:rsidR="00C5666C" w:rsidRPr="00844541">
        <w:rPr>
          <w:lang w:val="fr-FR"/>
        </w:rPr>
        <w:t>eux</w:t>
      </w:r>
      <w:r w:rsidR="0034172E" w:rsidRPr="00844541">
        <w:rPr>
          <w:lang w:val="fr-FR"/>
        </w:rPr>
        <w:t>.</w:t>
      </w:r>
    </w:p>
    <w:p w:rsidR="00E90E6B" w:rsidRPr="00844541" w:rsidRDefault="00E90E6B" w:rsidP="00844541">
      <w:pPr>
        <w:pStyle w:val="ECHRHeading4"/>
      </w:pPr>
      <w:r w:rsidRPr="00844541">
        <w:t>b)</w:t>
      </w:r>
      <w:r w:rsidR="00C37E41" w:rsidRPr="00844541">
        <w:t>  </w:t>
      </w:r>
      <w:r w:rsidRPr="00844541">
        <w:t>Le Gouvernement</w:t>
      </w:r>
    </w:p>
    <w:p w:rsidR="00B43D08" w:rsidRPr="00844541" w:rsidRDefault="00AA632A"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105</w:t>
      </w:r>
      <w:r w:rsidRPr="00844541">
        <w:rPr>
          <w:noProof/>
        </w:rPr>
        <w:fldChar w:fldCharType="end"/>
      </w:r>
      <w:r w:rsidR="00ED220D" w:rsidRPr="00844541">
        <w:rPr>
          <w:lang w:val="fr-FR"/>
        </w:rPr>
        <w:t>.  </w:t>
      </w:r>
      <w:r w:rsidR="00BC2AF8" w:rsidRPr="00844541">
        <w:rPr>
          <w:lang w:val="fr-FR"/>
        </w:rPr>
        <w:t>Le Gouvernement estime que les requérants n</w:t>
      </w:r>
      <w:r w:rsidR="00844541">
        <w:rPr>
          <w:lang w:val="fr-FR"/>
        </w:rPr>
        <w:t>’</w:t>
      </w:r>
      <w:r w:rsidR="00BC2AF8" w:rsidRPr="00844541">
        <w:rPr>
          <w:lang w:val="fr-FR"/>
        </w:rPr>
        <w:t>ont nullement démontré</w:t>
      </w:r>
      <w:r w:rsidR="00B13941" w:rsidRPr="00844541">
        <w:rPr>
          <w:lang w:val="fr-FR"/>
        </w:rPr>
        <w:t xml:space="preserve"> avoir</w:t>
      </w:r>
      <w:r w:rsidR="00BC2AF8" w:rsidRPr="00844541">
        <w:rPr>
          <w:lang w:val="fr-FR"/>
        </w:rPr>
        <w:t xml:space="preserve"> </w:t>
      </w:r>
      <w:r w:rsidR="00412021" w:rsidRPr="00844541">
        <w:rPr>
          <w:lang w:val="fr-FR"/>
        </w:rPr>
        <w:t>subi une</w:t>
      </w:r>
      <w:r w:rsidR="00BC2AF8" w:rsidRPr="00844541">
        <w:rPr>
          <w:lang w:val="fr-FR"/>
        </w:rPr>
        <w:t xml:space="preserve"> discrimin</w:t>
      </w:r>
      <w:r w:rsidR="00412021" w:rsidRPr="00844541">
        <w:rPr>
          <w:lang w:val="fr-FR"/>
        </w:rPr>
        <w:t>ation,</w:t>
      </w:r>
      <w:r w:rsidR="00BC2AF8" w:rsidRPr="00844541">
        <w:rPr>
          <w:lang w:val="fr-FR"/>
        </w:rPr>
        <w:t xml:space="preserve"> ni par rapport aux communautés religieuses orthodoxes ni par rapport aux autres communautés gréco</w:t>
      </w:r>
      <w:r w:rsidR="00B22B6F" w:rsidRPr="00844541">
        <w:rPr>
          <w:lang w:val="fr-FR"/>
        </w:rPr>
        <w:noBreakHyphen/>
      </w:r>
      <w:r w:rsidR="00BC2AF8" w:rsidRPr="00844541">
        <w:rPr>
          <w:lang w:val="fr-FR"/>
        </w:rPr>
        <w:t>catholiques se trouvant dans une situation analogue à la leur.</w:t>
      </w:r>
    </w:p>
    <w:p w:rsidR="00E1359D"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106</w:t>
      </w:r>
      <w:r w:rsidRPr="00844541">
        <w:rPr>
          <w:noProof/>
        </w:rPr>
        <w:fldChar w:fldCharType="end"/>
      </w:r>
      <w:r w:rsidR="00723E95" w:rsidRPr="00844541">
        <w:rPr>
          <w:lang w:val="fr-FR"/>
        </w:rPr>
        <w:t>.  </w:t>
      </w:r>
      <w:r w:rsidR="000003D5" w:rsidRPr="00844541">
        <w:rPr>
          <w:lang w:val="fr-FR"/>
        </w:rPr>
        <w:t xml:space="preserve">Dans ses observations complémentaires, </w:t>
      </w:r>
      <w:r w:rsidR="00E1359D" w:rsidRPr="00844541">
        <w:rPr>
          <w:lang w:val="fr-FR"/>
        </w:rPr>
        <w:t xml:space="preserve">se référant à la prévisibilité du critère litigieux, </w:t>
      </w:r>
      <w:r w:rsidR="000003D5" w:rsidRPr="00844541">
        <w:rPr>
          <w:lang w:val="fr-FR"/>
        </w:rPr>
        <w:t xml:space="preserve">le Gouvernement </w:t>
      </w:r>
      <w:r w:rsidR="00E1359D" w:rsidRPr="00844541">
        <w:rPr>
          <w:lang w:val="fr-FR"/>
        </w:rPr>
        <w:t>explique qu</w:t>
      </w:r>
      <w:r w:rsidR="007C297F" w:rsidRPr="00844541">
        <w:rPr>
          <w:lang w:val="fr-FR"/>
        </w:rPr>
        <w:t>e ce critère</w:t>
      </w:r>
      <w:r w:rsidR="00E1359D" w:rsidRPr="00844541">
        <w:rPr>
          <w:lang w:val="fr-FR"/>
        </w:rPr>
        <w:t xml:space="preserve"> reflète une conception avec des fondements sociaux et historiques profonds</w:t>
      </w:r>
      <w:r w:rsidR="00F74140" w:rsidRPr="00844541">
        <w:rPr>
          <w:lang w:val="fr-FR"/>
        </w:rPr>
        <w:t>. Il met l</w:t>
      </w:r>
      <w:r w:rsidR="00844541">
        <w:rPr>
          <w:lang w:val="fr-FR"/>
        </w:rPr>
        <w:t>’</w:t>
      </w:r>
      <w:r w:rsidR="00F74140" w:rsidRPr="00844541">
        <w:rPr>
          <w:lang w:val="fr-FR"/>
        </w:rPr>
        <w:t>acc</w:t>
      </w:r>
      <w:r w:rsidR="006C3751" w:rsidRPr="00844541">
        <w:rPr>
          <w:lang w:val="fr-FR"/>
        </w:rPr>
        <w:t>e</w:t>
      </w:r>
      <w:r w:rsidR="00F74140" w:rsidRPr="00844541">
        <w:rPr>
          <w:lang w:val="fr-FR"/>
        </w:rPr>
        <w:t xml:space="preserve">nt sur la spécificité des immeubles en litige, à savoir des lieux de culte. </w:t>
      </w:r>
      <w:r w:rsidR="00E1359D" w:rsidRPr="00844541">
        <w:rPr>
          <w:lang w:val="fr-FR"/>
        </w:rPr>
        <w:t>Selon lui, l</w:t>
      </w:r>
      <w:r w:rsidR="007F1CDF" w:rsidRPr="00844541">
        <w:rPr>
          <w:lang w:val="fr-FR"/>
        </w:rPr>
        <w:t>a</w:t>
      </w:r>
      <w:r w:rsidR="00E1359D" w:rsidRPr="00844541">
        <w:rPr>
          <w:lang w:val="fr-FR"/>
        </w:rPr>
        <w:t xml:space="preserve"> législation adoptée visait à permettre aux fidèles de décider </w:t>
      </w:r>
      <w:r w:rsidR="00966551" w:rsidRPr="00844541">
        <w:rPr>
          <w:lang w:val="fr-FR"/>
        </w:rPr>
        <w:t>d</w:t>
      </w:r>
      <w:r w:rsidR="00E1359D" w:rsidRPr="00844541">
        <w:rPr>
          <w:lang w:val="fr-FR"/>
        </w:rPr>
        <w:t>u sort du lieu de culte</w:t>
      </w:r>
      <w:r w:rsidR="007C297F" w:rsidRPr="00844541">
        <w:rPr>
          <w:lang w:val="fr-FR"/>
        </w:rPr>
        <w:t xml:space="preserve"> étant donné que</w:t>
      </w:r>
      <w:r w:rsidR="00F74140" w:rsidRPr="00844541">
        <w:rPr>
          <w:lang w:val="fr-FR"/>
        </w:rPr>
        <w:t xml:space="preserve"> les fidèles avaient contribué à la construction du lieu de culte, l</w:t>
      </w:r>
      <w:r w:rsidR="00844541">
        <w:rPr>
          <w:lang w:val="fr-FR"/>
        </w:rPr>
        <w:t>’</w:t>
      </w:r>
      <w:r w:rsidR="00F74140" w:rsidRPr="00844541">
        <w:rPr>
          <w:lang w:val="fr-FR"/>
        </w:rPr>
        <w:t>avaient entretenu et avaient rendu possible sa destination.</w:t>
      </w:r>
      <w:r w:rsidR="00E1359D" w:rsidRPr="00844541">
        <w:rPr>
          <w:lang w:val="fr-FR"/>
        </w:rPr>
        <w:t xml:space="preserve"> Il ajoute qu</w:t>
      </w:r>
      <w:r w:rsidR="00844541">
        <w:rPr>
          <w:lang w:val="fr-FR"/>
        </w:rPr>
        <w:t>’</w:t>
      </w:r>
      <w:r w:rsidR="00E1359D" w:rsidRPr="00844541">
        <w:rPr>
          <w:lang w:val="fr-FR"/>
        </w:rPr>
        <w:t>au moment de l</w:t>
      </w:r>
      <w:r w:rsidR="00844541">
        <w:rPr>
          <w:lang w:val="fr-FR"/>
        </w:rPr>
        <w:t>’</w:t>
      </w:r>
      <w:r w:rsidR="00E1359D" w:rsidRPr="00844541">
        <w:rPr>
          <w:lang w:val="fr-FR"/>
        </w:rPr>
        <w:t>adoption du décret-loi n</w:t>
      </w:r>
      <w:r w:rsidR="00E1359D" w:rsidRPr="00844541">
        <w:rPr>
          <w:vertAlign w:val="superscript"/>
          <w:lang w:val="fr-FR"/>
        </w:rPr>
        <w:t>o</w:t>
      </w:r>
      <w:r w:rsidR="00E1359D" w:rsidRPr="00844541">
        <w:rPr>
          <w:lang w:val="fr-FR"/>
        </w:rPr>
        <w:t xml:space="preserve"> 126/1990 toutes les options étaient ouvertes aux paroissiens : le culte gréco-catholique pouvait légitimement espérer</w:t>
      </w:r>
      <w:r w:rsidR="00FE060E" w:rsidRPr="00844541">
        <w:rPr>
          <w:lang w:val="fr-FR"/>
        </w:rPr>
        <w:t xml:space="preserve"> </w:t>
      </w:r>
      <w:r w:rsidR="00E1359D" w:rsidRPr="00844541">
        <w:rPr>
          <w:lang w:val="fr-FR"/>
        </w:rPr>
        <w:t>refaire sa communauté dans des</w:t>
      </w:r>
      <w:r w:rsidR="00693329" w:rsidRPr="00844541">
        <w:rPr>
          <w:lang w:val="fr-FR"/>
        </w:rPr>
        <w:t xml:space="preserve"> dimensions</w:t>
      </w:r>
      <w:r w:rsidR="00E1359D" w:rsidRPr="00844541">
        <w:rPr>
          <w:lang w:val="fr-FR"/>
        </w:rPr>
        <w:t xml:space="preserve"> similaires à celles </w:t>
      </w:r>
      <w:r w:rsidR="00FE060E" w:rsidRPr="00844541">
        <w:rPr>
          <w:lang w:val="fr-FR"/>
        </w:rPr>
        <w:t xml:space="preserve">existantes avant sa dissolution </w:t>
      </w:r>
      <w:r w:rsidR="00E1359D" w:rsidRPr="00844541">
        <w:rPr>
          <w:lang w:val="fr-FR"/>
        </w:rPr>
        <w:t xml:space="preserve">tandis que le culte orthodoxe pouvait envisager une perte des fidèles, à savoir ceux qui </w:t>
      </w:r>
      <w:r w:rsidR="00E1359D" w:rsidRPr="00844541">
        <w:rPr>
          <w:lang w:val="fr-FR"/>
        </w:rPr>
        <w:lastRenderedPageBreak/>
        <w:t xml:space="preserve">avaient quitté à </w:t>
      </w:r>
      <w:r w:rsidR="00B17C79" w:rsidRPr="00844541">
        <w:rPr>
          <w:lang w:val="fr-FR"/>
        </w:rPr>
        <w:t>contrecœur</w:t>
      </w:r>
      <w:r w:rsidR="00E1359D" w:rsidRPr="00844541">
        <w:rPr>
          <w:lang w:val="fr-FR"/>
        </w:rPr>
        <w:t xml:space="preserve"> le culte gréco-catholique</w:t>
      </w:r>
      <w:r w:rsidR="00567CFA" w:rsidRPr="00844541">
        <w:rPr>
          <w:lang w:val="fr-FR"/>
        </w:rPr>
        <w:t xml:space="preserve"> pendant le régime totalitaire</w:t>
      </w:r>
      <w:r w:rsidR="00E1359D" w:rsidRPr="00844541">
        <w:rPr>
          <w:lang w:val="fr-FR"/>
        </w:rPr>
        <w:t>.</w:t>
      </w:r>
    </w:p>
    <w:p w:rsidR="00B43D08" w:rsidRPr="00844541" w:rsidRDefault="004C1AE4"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107</w:t>
      </w:r>
      <w:r w:rsidRPr="00844541">
        <w:rPr>
          <w:noProof/>
        </w:rPr>
        <w:fldChar w:fldCharType="end"/>
      </w:r>
      <w:r w:rsidR="007F58A6" w:rsidRPr="00844541">
        <w:rPr>
          <w:lang w:val="fr-FR"/>
        </w:rPr>
        <w:t>.  </w:t>
      </w:r>
      <w:r w:rsidR="00E1359D" w:rsidRPr="00844541">
        <w:rPr>
          <w:lang w:val="fr-FR"/>
        </w:rPr>
        <w:t xml:space="preserve">Le Gouvernement souligne que le critère de « la volonté des fidèles des communautés détentrices des biens » a été </w:t>
      </w:r>
      <w:r w:rsidR="008F1E4D" w:rsidRPr="00844541">
        <w:rPr>
          <w:lang w:val="fr-FR"/>
        </w:rPr>
        <w:t>confirmé par la juris</w:t>
      </w:r>
      <w:r w:rsidR="00061F6E" w:rsidRPr="00844541">
        <w:rPr>
          <w:lang w:val="fr-FR"/>
        </w:rPr>
        <w:t>p</w:t>
      </w:r>
      <w:r w:rsidR="008F1E4D" w:rsidRPr="00844541">
        <w:rPr>
          <w:lang w:val="fr-FR"/>
        </w:rPr>
        <w:t>rudence constante de la Cour constitutionnelle qui avait exposé dans ses décisions les motifs pour lesquels la solution législative adoptée était non seulement constitutionnelle mais en accord avec la réalité sociale (paragraphe</w:t>
      </w:r>
      <w:r w:rsidR="00F64243" w:rsidRPr="00844541">
        <w:rPr>
          <w:lang w:val="fr-FR"/>
        </w:rPr>
        <w:t>s 51 et 52</w:t>
      </w:r>
      <w:r w:rsidR="008F1E4D" w:rsidRPr="00844541">
        <w:rPr>
          <w:lang w:val="fr-FR"/>
        </w:rPr>
        <w:t xml:space="preserve"> ci-dessus).</w:t>
      </w:r>
    </w:p>
    <w:p w:rsidR="00B43D08" w:rsidRPr="00844541" w:rsidRDefault="004C1AE4"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108</w:t>
      </w:r>
      <w:r w:rsidRPr="00844541">
        <w:rPr>
          <w:noProof/>
        </w:rPr>
        <w:fldChar w:fldCharType="end"/>
      </w:r>
      <w:r w:rsidR="007F58A6" w:rsidRPr="00844541">
        <w:rPr>
          <w:lang w:val="fr-FR"/>
        </w:rPr>
        <w:t>.  </w:t>
      </w:r>
      <w:r w:rsidR="00E1359D" w:rsidRPr="00844541">
        <w:rPr>
          <w:lang w:val="fr-FR"/>
        </w:rPr>
        <w:t xml:space="preserve">Il </w:t>
      </w:r>
      <w:r w:rsidR="000003D5" w:rsidRPr="00844541">
        <w:rPr>
          <w:lang w:val="fr-FR"/>
        </w:rPr>
        <w:t xml:space="preserve">indique </w:t>
      </w:r>
      <w:r w:rsidR="00E04F42" w:rsidRPr="00844541">
        <w:rPr>
          <w:lang w:val="fr-FR"/>
        </w:rPr>
        <w:t xml:space="preserve">enfin </w:t>
      </w:r>
      <w:r w:rsidR="000003D5" w:rsidRPr="00844541">
        <w:rPr>
          <w:lang w:val="fr-FR"/>
        </w:rPr>
        <w:t>que l</w:t>
      </w:r>
      <w:r w:rsidR="00B13941" w:rsidRPr="00844541">
        <w:rPr>
          <w:lang w:val="fr-FR"/>
        </w:rPr>
        <w:t>es requérants ont</w:t>
      </w:r>
      <w:r w:rsidR="000003D5" w:rsidRPr="00844541">
        <w:rPr>
          <w:lang w:val="fr-FR"/>
        </w:rPr>
        <w:t xml:space="preserve"> pu présenter </w:t>
      </w:r>
      <w:r w:rsidR="00B13941" w:rsidRPr="00844541">
        <w:rPr>
          <w:lang w:val="fr-FR"/>
        </w:rPr>
        <w:t xml:space="preserve">leur </w:t>
      </w:r>
      <w:r w:rsidR="000003D5" w:rsidRPr="00844541">
        <w:rPr>
          <w:lang w:val="fr-FR"/>
        </w:rPr>
        <w:t xml:space="preserve">demande </w:t>
      </w:r>
      <w:r w:rsidR="00B13941" w:rsidRPr="00844541">
        <w:rPr>
          <w:lang w:val="fr-FR"/>
        </w:rPr>
        <w:t>aux juridictions internes</w:t>
      </w:r>
      <w:r w:rsidR="008907CF" w:rsidRPr="00844541">
        <w:rPr>
          <w:lang w:val="fr-FR"/>
        </w:rPr>
        <w:t>,</w:t>
      </w:r>
      <w:r w:rsidR="000003D5" w:rsidRPr="00844541">
        <w:rPr>
          <w:lang w:val="fr-FR"/>
        </w:rPr>
        <w:t xml:space="preserve"> </w:t>
      </w:r>
      <w:r w:rsidR="008907CF" w:rsidRPr="00844541">
        <w:rPr>
          <w:lang w:val="fr-FR"/>
        </w:rPr>
        <w:t xml:space="preserve">lesquelles </w:t>
      </w:r>
      <w:r w:rsidR="00A24512" w:rsidRPr="00844541">
        <w:rPr>
          <w:lang w:val="fr-FR"/>
        </w:rPr>
        <w:t>auraient</w:t>
      </w:r>
      <w:r w:rsidR="000003D5" w:rsidRPr="00844541">
        <w:rPr>
          <w:lang w:val="fr-FR"/>
        </w:rPr>
        <w:t xml:space="preserve"> examiné l</w:t>
      </w:r>
      <w:r w:rsidR="00844541">
        <w:rPr>
          <w:lang w:val="fr-FR"/>
        </w:rPr>
        <w:t>’</w:t>
      </w:r>
      <w:r w:rsidR="000003D5" w:rsidRPr="00844541">
        <w:rPr>
          <w:lang w:val="fr-FR"/>
        </w:rPr>
        <w:t>action sur le fond</w:t>
      </w:r>
      <w:r w:rsidR="00B13941" w:rsidRPr="00844541">
        <w:rPr>
          <w:lang w:val="fr-FR"/>
        </w:rPr>
        <w:t xml:space="preserve"> et rendu des décisions amplement motivées et sans indice d</w:t>
      </w:r>
      <w:r w:rsidR="00844541">
        <w:rPr>
          <w:lang w:val="fr-FR"/>
        </w:rPr>
        <w:t>’</w:t>
      </w:r>
      <w:r w:rsidR="00B13941" w:rsidRPr="00844541">
        <w:rPr>
          <w:lang w:val="fr-FR"/>
        </w:rPr>
        <w:t>arbitraire</w:t>
      </w:r>
      <w:r w:rsidR="000003D5" w:rsidRPr="00844541">
        <w:rPr>
          <w:lang w:val="fr-FR"/>
        </w:rPr>
        <w:t xml:space="preserve">. </w:t>
      </w:r>
      <w:r w:rsidR="00A24512" w:rsidRPr="00844541">
        <w:rPr>
          <w:lang w:val="fr-FR"/>
        </w:rPr>
        <w:t>Il ajoute que l</w:t>
      </w:r>
      <w:r w:rsidR="00B13941" w:rsidRPr="00844541">
        <w:rPr>
          <w:lang w:val="fr-FR"/>
        </w:rPr>
        <w:t xml:space="preserve">es instances ont </w:t>
      </w:r>
      <w:r w:rsidR="00407422" w:rsidRPr="00844541">
        <w:rPr>
          <w:lang w:val="fr-FR"/>
        </w:rPr>
        <w:t>établi</w:t>
      </w:r>
      <w:r w:rsidR="00B13941" w:rsidRPr="00844541">
        <w:rPr>
          <w:lang w:val="fr-FR"/>
        </w:rPr>
        <w:t xml:space="preserve"> la volonté des </w:t>
      </w:r>
      <w:r w:rsidR="00C5666C" w:rsidRPr="00844541">
        <w:rPr>
          <w:lang w:val="fr-FR"/>
        </w:rPr>
        <w:t>fidèles</w:t>
      </w:r>
      <w:r w:rsidR="00B13941" w:rsidRPr="00844541">
        <w:rPr>
          <w:lang w:val="fr-FR"/>
        </w:rPr>
        <w:t xml:space="preserve"> </w:t>
      </w:r>
      <w:r w:rsidR="00A24512" w:rsidRPr="00844541">
        <w:rPr>
          <w:lang w:val="fr-FR"/>
        </w:rPr>
        <w:t xml:space="preserve">après avoir </w:t>
      </w:r>
      <w:r w:rsidR="00B13941" w:rsidRPr="00844541">
        <w:rPr>
          <w:lang w:val="fr-FR"/>
        </w:rPr>
        <w:t>examin</w:t>
      </w:r>
      <w:r w:rsidR="00A24512" w:rsidRPr="00844541">
        <w:rPr>
          <w:lang w:val="fr-FR"/>
        </w:rPr>
        <w:t>é</w:t>
      </w:r>
      <w:r w:rsidR="00B13941" w:rsidRPr="00844541">
        <w:rPr>
          <w:lang w:val="fr-FR"/>
        </w:rPr>
        <w:t xml:space="preserve"> une multitude de facteurs sociaux, historiques et juridiques</w:t>
      </w:r>
      <w:r w:rsidR="00AE2633" w:rsidRPr="00844541">
        <w:rPr>
          <w:lang w:val="fr-FR"/>
        </w:rPr>
        <w:t xml:space="preserve"> et </w:t>
      </w:r>
      <w:r w:rsidR="000003D5" w:rsidRPr="00844541">
        <w:rPr>
          <w:lang w:val="fr-FR"/>
        </w:rPr>
        <w:t>que l</w:t>
      </w:r>
      <w:r w:rsidR="00B13941" w:rsidRPr="00844541">
        <w:rPr>
          <w:lang w:val="fr-FR"/>
        </w:rPr>
        <w:t>es</w:t>
      </w:r>
      <w:r w:rsidR="000003D5" w:rsidRPr="00844541">
        <w:rPr>
          <w:lang w:val="fr-FR"/>
        </w:rPr>
        <w:t xml:space="preserve"> requérant</w:t>
      </w:r>
      <w:r w:rsidR="00B13941" w:rsidRPr="00844541">
        <w:rPr>
          <w:lang w:val="fr-FR"/>
        </w:rPr>
        <w:t>s</w:t>
      </w:r>
      <w:r w:rsidR="000003D5" w:rsidRPr="00844541">
        <w:rPr>
          <w:lang w:val="fr-FR"/>
        </w:rPr>
        <w:t xml:space="preserve"> n</w:t>
      </w:r>
      <w:r w:rsidR="00844541">
        <w:rPr>
          <w:lang w:val="fr-FR"/>
        </w:rPr>
        <w:t>’</w:t>
      </w:r>
      <w:r w:rsidR="00B13941" w:rsidRPr="00844541">
        <w:rPr>
          <w:lang w:val="fr-FR"/>
        </w:rPr>
        <w:t>ont</w:t>
      </w:r>
      <w:r w:rsidR="000003D5" w:rsidRPr="00844541">
        <w:rPr>
          <w:lang w:val="fr-FR"/>
        </w:rPr>
        <w:t xml:space="preserve"> pas été désavantag</w:t>
      </w:r>
      <w:r w:rsidR="00A24512" w:rsidRPr="00844541">
        <w:rPr>
          <w:lang w:val="fr-FR"/>
        </w:rPr>
        <w:t>és</w:t>
      </w:r>
      <w:r w:rsidR="000003D5" w:rsidRPr="00844541">
        <w:rPr>
          <w:lang w:val="fr-FR"/>
        </w:rPr>
        <w:t xml:space="preserve"> en raison de </w:t>
      </w:r>
      <w:r w:rsidR="00C5666C" w:rsidRPr="00844541">
        <w:rPr>
          <w:lang w:val="fr-FR"/>
        </w:rPr>
        <w:t>leur</w:t>
      </w:r>
      <w:r w:rsidR="000003D5" w:rsidRPr="00844541">
        <w:rPr>
          <w:lang w:val="fr-FR"/>
        </w:rPr>
        <w:t xml:space="preserve"> r</w:t>
      </w:r>
      <w:r w:rsidR="00E80D1F" w:rsidRPr="00844541">
        <w:rPr>
          <w:lang w:val="fr-FR"/>
        </w:rPr>
        <w:t>e</w:t>
      </w:r>
      <w:r w:rsidR="000003D5" w:rsidRPr="00844541">
        <w:rPr>
          <w:lang w:val="fr-FR"/>
        </w:rPr>
        <w:t xml:space="preserve">ligion. </w:t>
      </w:r>
      <w:r w:rsidR="00A24512" w:rsidRPr="00844541">
        <w:rPr>
          <w:lang w:val="fr-FR"/>
        </w:rPr>
        <w:t>Il conclut que le</w:t>
      </w:r>
      <w:r w:rsidR="000003D5" w:rsidRPr="00844541">
        <w:rPr>
          <w:lang w:val="fr-FR"/>
        </w:rPr>
        <w:t xml:space="preserve"> critère litigieux prévu par le décret-loi n</w:t>
      </w:r>
      <w:r w:rsidR="000003D5" w:rsidRPr="00844541">
        <w:rPr>
          <w:vertAlign w:val="superscript"/>
          <w:lang w:val="fr-FR"/>
        </w:rPr>
        <w:t>o</w:t>
      </w:r>
      <w:r w:rsidR="000003D5" w:rsidRPr="00844541">
        <w:rPr>
          <w:lang w:val="fr-FR"/>
        </w:rPr>
        <w:t xml:space="preserve"> 126/1990 n</w:t>
      </w:r>
      <w:r w:rsidR="00844541">
        <w:rPr>
          <w:lang w:val="fr-FR"/>
        </w:rPr>
        <w:t>’</w:t>
      </w:r>
      <w:r w:rsidR="000003D5" w:rsidRPr="00844541">
        <w:rPr>
          <w:lang w:val="fr-FR"/>
        </w:rPr>
        <w:t xml:space="preserve">a pas été appliqué afin de favoriser une certaine communauté religieuse, mais afin de permettre aux </w:t>
      </w:r>
      <w:r w:rsidR="003B5C3D" w:rsidRPr="00844541">
        <w:rPr>
          <w:lang w:val="fr-FR"/>
        </w:rPr>
        <w:t xml:space="preserve">fidèles </w:t>
      </w:r>
      <w:r w:rsidR="000003D5" w:rsidRPr="00844541">
        <w:rPr>
          <w:lang w:val="fr-FR"/>
        </w:rPr>
        <w:t>de décider du sort du bien qu</w:t>
      </w:r>
      <w:r w:rsidR="00844541">
        <w:rPr>
          <w:lang w:val="fr-FR"/>
        </w:rPr>
        <w:t>’</w:t>
      </w:r>
      <w:r w:rsidR="000003D5" w:rsidRPr="00844541">
        <w:rPr>
          <w:lang w:val="fr-FR"/>
        </w:rPr>
        <w:t xml:space="preserve">ils avaient bâti, </w:t>
      </w:r>
      <w:r w:rsidR="00A24512" w:rsidRPr="00844541">
        <w:rPr>
          <w:lang w:val="fr-FR"/>
        </w:rPr>
        <w:t>et ce</w:t>
      </w:r>
      <w:r w:rsidR="00AE2633" w:rsidRPr="00844541">
        <w:rPr>
          <w:lang w:val="fr-FR"/>
        </w:rPr>
        <w:t>, d</w:t>
      </w:r>
      <w:r w:rsidR="00844541">
        <w:rPr>
          <w:lang w:val="fr-FR"/>
        </w:rPr>
        <w:t>’</w:t>
      </w:r>
      <w:r w:rsidR="00AE2633" w:rsidRPr="00844541">
        <w:rPr>
          <w:lang w:val="fr-FR"/>
        </w:rPr>
        <w:t>après le Gouvernement, dans l</w:t>
      </w:r>
      <w:r w:rsidR="00844541">
        <w:rPr>
          <w:lang w:val="fr-FR"/>
        </w:rPr>
        <w:t>’</w:t>
      </w:r>
      <w:r w:rsidR="00AE2633" w:rsidRPr="00844541">
        <w:rPr>
          <w:lang w:val="fr-FR"/>
        </w:rPr>
        <w:t>optique de ne pas créer</w:t>
      </w:r>
      <w:r w:rsidR="00A24512" w:rsidRPr="00844541">
        <w:rPr>
          <w:lang w:val="fr-FR"/>
        </w:rPr>
        <w:t xml:space="preserve"> d</w:t>
      </w:r>
      <w:r w:rsidR="00AE2633" w:rsidRPr="00844541">
        <w:rPr>
          <w:lang w:val="fr-FR"/>
        </w:rPr>
        <w:t xml:space="preserve">es </w:t>
      </w:r>
      <w:r w:rsidR="000003D5" w:rsidRPr="00844541">
        <w:rPr>
          <w:lang w:val="fr-FR"/>
        </w:rPr>
        <w:t>injustices plus graves que celles qu</w:t>
      </w:r>
      <w:r w:rsidR="00844541">
        <w:rPr>
          <w:lang w:val="fr-FR"/>
        </w:rPr>
        <w:t>’</w:t>
      </w:r>
      <w:r w:rsidR="000003D5" w:rsidRPr="00844541">
        <w:rPr>
          <w:lang w:val="fr-FR"/>
        </w:rPr>
        <w:t>il essay</w:t>
      </w:r>
      <w:r w:rsidR="00A67503" w:rsidRPr="00844541">
        <w:rPr>
          <w:lang w:val="fr-FR"/>
        </w:rPr>
        <w:t>ait</w:t>
      </w:r>
      <w:r w:rsidR="000003D5" w:rsidRPr="00844541">
        <w:rPr>
          <w:lang w:val="fr-FR"/>
        </w:rPr>
        <w:t xml:space="preserve"> de </w:t>
      </w:r>
      <w:r w:rsidR="00AE2633" w:rsidRPr="00844541">
        <w:rPr>
          <w:lang w:val="fr-FR"/>
        </w:rPr>
        <w:t>redresser</w:t>
      </w:r>
      <w:r w:rsidR="000003D5" w:rsidRPr="00844541">
        <w:rPr>
          <w:lang w:val="fr-FR"/>
        </w:rPr>
        <w:t>.</w:t>
      </w:r>
    </w:p>
    <w:p w:rsidR="00A21B55" w:rsidRPr="00844541" w:rsidRDefault="00A21B55" w:rsidP="00844541">
      <w:pPr>
        <w:pStyle w:val="ECHRHeading3"/>
      </w:pPr>
      <w:r w:rsidRPr="00844541">
        <w:t>2.</w:t>
      </w:r>
      <w:r w:rsidR="00C37E41" w:rsidRPr="00844541">
        <w:t>  </w:t>
      </w:r>
      <w:r w:rsidR="00E9417B" w:rsidRPr="00844541">
        <w:t>L</w:t>
      </w:r>
      <w:r w:rsidR="00844541">
        <w:t>’</w:t>
      </w:r>
      <w:r w:rsidR="00E9417B" w:rsidRPr="00844541">
        <w:t>a</w:t>
      </w:r>
      <w:r w:rsidRPr="00844541">
        <w:t>ppréciation de la Cour</w:t>
      </w:r>
    </w:p>
    <w:p w:rsidR="00F21822" w:rsidRPr="00844541" w:rsidRDefault="00F21822" w:rsidP="00844541">
      <w:pPr>
        <w:pStyle w:val="ECHRHeading4"/>
      </w:pPr>
      <w:r w:rsidRPr="00844541">
        <w:t>a)</w:t>
      </w:r>
      <w:r w:rsidR="00C37E41" w:rsidRPr="00844541">
        <w:t>  </w:t>
      </w:r>
      <w:r w:rsidRPr="00844541">
        <w:t>Les principes applicables</w:t>
      </w:r>
    </w:p>
    <w:p w:rsidR="00A21B55"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109</w:t>
      </w:r>
      <w:r w:rsidRPr="00844541">
        <w:rPr>
          <w:noProof/>
        </w:rPr>
        <w:fldChar w:fldCharType="end"/>
      </w:r>
      <w:r w:rsidR="00A21B55" w:rsidRPr="00844541">
        <w:rPr>
          <w:lang w:val="fr-FR"/>
        </w:rPr>
        <w:t>.  </w:t>
      </w:r>
      <w:r w:rsidR="00844DAD" w:rsidRPr="00844541">
        <w:rPr>
          <w:lang w:val="fr-FR"/>
        </w:rPr>
        <w:t>Comme l</w:t>
      </w:r>
      <w:r w:rsidR="00A21B55" w:rsidRPr="00844541">
        <w:rPr>
          <w:lang w:val="fr-FR"/>
        </w:rPr>
        <w:t>a Cour l</w:t>
      </w:r>
      <w:r w:rsidR="00844541">
        <w:rPr>
          <w:lang w:val="fr-FR"/>
        </w:rPr>
        <w:t>’</w:t>
      </w:r>
      <w:r w:rsidR="00A21B55" w:rsidRPr="00844541">
        <w:rPr>
          <w:lang w:val="fr-FR"/>
        </w:rPr>
        <w:t>a toujours dit, l</w:t>
      </w:r>
      <w:r w:rsidR="00844541">
        <w:rPr>
          <w:lang w:val="fr-FR"/>
        </w:rPr>
        <w:t>’</w:t>
      </w:r>
      <w:r w:rsidR="00A21B55" w:rsidRPr="00844541">
        <w:rPr>
          <w:lang w:val="fr-FR"/>
        </w:rPr>
        <w:t xml:space="preserve">article 14 </w:t>
      </w:r>
      <w:r w:rsidR="00A24512" w:rsidRPr="00844541">
        <w:rPr>
          <w:lang w:val="fr-FR"/>
        </w:rPr>
        <w:t xml:space="preserve">de la Convention </w:t>
      </w:r>
      <w:r w:rsidR="00A21B55" w:rsidRPr="00844541">
        <w:rPr>
          <w:lang w:val="fr-FR"/>
        </w:rPr>
        <w:t xml:space="preserve">complète les autres clauses normatives de la Convention et de ses Protocoles. </w:t>
      </w:r>
      <w:r w:rsidR="00826559" w:rsidRPr="00844541">
        <w:rPr>
          <w:lang w:val="fr-FR"/>
        </w:rPr>
        <w:t>Cet article</w:t>
      </w:r>
      <w:r w:rsidR="00A21B55" w:rsidRPr="00844541">
        <w:rPr>
          <w:lang w:val="fr-FR"/>
        </w:rPr>
        <w:t xml:space="preserve"> n</w:t>
      </w:r>
      <w:r w:rsidR="00844541">
        <w:rPr>
          <w:lang w:val="fr-FR"/>
        </w:rPr>
        <w:t>’</w:t>
      </w:r>
      <w:r w:rsidR="00A21B55" w:rsidRPr="00844541">
        <w:rPr>
          <w:lang w:val="fr-FR"/>
        </w:rPr>
        <w:t>a pas d</w:t>
      </w:r>
      <w:r w:rsidR="00844541">
        <w:rPr>
          <w:lang w:val="fr-FR"/>
        </w:rPr>
        <w:t>’</w:t>
      </w:r>
      <w:r w:rsidR="00A21B55" w:rsidRPr="00844541">
        <w:rPr>
          <w:lang w:val="fr-FR"/>
        </w:rPr>
        <w:t>existence indépendante, puisqu</w:t>
      </w:r>
      <w:r w:rsidR="00844541">
        <w:rPr>
          <w:lang w:val="fr-FR"/>
        </w:rPr>
        <w:t>’</w:t>
      </w:r>
      <w:r w:rsidR="00A21B55" w:rsidRPr="00844541">
        <w:rPr>
          <w:lang w:val="fr-FR"/>
        </w:rPr>
        <w:t>il vaut uniquement pour « la jouissance des droits et libertés » qu</w:t>
      </w:r>
      <w:r w:rsidR="00844541">
        <w:rPr>
          <w:lang w:val="fr-FR"/>
        </w:rPr>
        <w:t>’</w:t>
      </w:r>
      <w:r w:rsidR="00A21B55" w:rsidRPr="00844541">
        <w:rPr>
          <w:lang w:val="fr-FR"/>
        </w:rPr>
        <w:t>elles garantissent. Certes, il peut entrer en jeu même sans manquement à leurs exigences et, dans cette mesure, possède une portée autonome, mais il ne saurait trouver à s</w:t>
      </w:r>
      <w:r w:rsidR="00844541">
        <w:rPr>
          <w:lang w:val="fr-FR"/>
        </w:rPr>
        <w:t>’</w:t>
      </w:r>
      <w:r w:rsidR="00A21B55" w:rsidRPr="00844541">
        <w:rPr>
          <w:lang w:val="fr-FR"/>
        </w:rPr>
        <w:t>appliquer si les faits du litige ne tombent pas sous l</w:t>
      </w:r>
      <w:r w:rsidR="00844541">
        <w:rPr>
          <w:lang w:val="fr-FR"/>
        </w:rPr>
        <w:t>’</w:t>
      </w:r>
      <w:r w:rsidR="00A21B55" w:rsidRPr="00844541">
        <w:rPr>
          <w:lang w:val="fr-FR"/>
        </w:rPr>
        <w:t>empire de l</w:t>
      </w:r>
      <w:r w:rsidR="00844541">
        <w:rPr>
          <w:lang w:val="fr-FR"/>
        </w:rPr>
        <w:t>’</w:t>
      </w:r>
      <w:r w:rsidR="00A21B55" w:rsidRPr="00844541">
        <w:rPr>
          <w:lang w:val="fr-FR"/>
        </w:rPr>
        <w:t>une au moins desdites clauses (voir, parmi beaucoup d</w:t>
      </w:r>
      <w:r w:rsidR="00844541">
        <w:rPr>
          <w:lang w:val="fr-FR"/>
        </w:rPr>
        <w:t>’</w:t>
      </w:r>
      <w:r w:rsidR="00A21B55" w:rsidRPr="00844541">
        <w:rPr>
          <w:lang w:val="fr-FR"/>
        </w:rPr>
        <w:t xml:space="preserve">autres, </w:t>
      </w:r>
      <w:r w:rsidR="00A21B55" w:rsidRPr="00844541">
        <w:rPr>
          <w:i/>
          <w:lang w:val="fr-FR"/>
        </w:rPr>
        <w:t>E.B. c. France</w:t>
      </w:r>
      <w:r w:rsidR="00A21B55" w:rsidRPr="00844541">
        <w:rPr>
          <w:lang w:val="fr-FR"/>
        </w:rPr>
        <w:t xml:space="preserve"> [GC], n</w:t>
      </w:r>
      <w:r w:rsidR="00A21B55" w:rsidRPr="00844541">
        <w:rPr>
          <w:vertAlign w:val="superscript"/>
          <w:lang w:val="fr-FR"/>
        </w:rPr>
        <w:t>o</w:t>
      </w:r>
      <w:r w:rsidR="00A21B55" w:rsidRPr="00844541">
        <w:rPr>
          <w:lang w:val="fr-FR"/>
        </w:rPr>
        <w:t xml:space="preserve"> 43546/02, §§ 47-48, 22 janvier 2008).</w:t>
      </w:r>
    </w:p>
    <w:p w:rsidR="004E18C0" w:rsidRPr="00844541" w:rsidRDefault="004C1AE4"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110</w:t>
      </w:r>
      <w:r w:rsidRPr="00844541">
        <w:rPr>
          <w:noProof/>
        </w:rPr>
        <w:fldChar w:fldCharType="end"/>
      </w:r>
      <w:r w:rsidR="005869AD" w:rsidRPr="00844541">
        <w:rPr>
          <w:lang w:val="fr-FR"/>
        </w:rPr>
        <w:t>.  </w:t>
      </w:r>
      <w:r w:rsidR="004E18C0" w:rsidRPr="00844541">
        <w:rPr>
          <w:lang w:val="fr-FR"/>
        </w:rPr>
        <w:t>De même, selon la jurisprudence établie de la Cour, la discrimination consiste à traiter de manière différente, sauf justification objective et raisonnable, des personnes placées dans des situations comparables (</w:t>
      </w:r>
      <w:r w:rsidR="005869AD" w:rsidRPr="00844541">
        <w:rPr>
          <w:i/>
          <w:lang w:val="fr-FR"/>
        </w:rPr>
        <w:t xml:space="preserve">D.H. et autres c. République tchèque </w:t>
      </w:r>
      <w:r w:rsidR="005869AD" w:rsidRPr="00844541">
        <w:rPr>
          <w:lang w:val="fr-FR"/>
        </w:rPr>
        <w:t>[GC], n</w:t>
      </w:r>
      <w:r w:rsidR="005869AD" w:rsidRPr="00844541">
        <w:rPr>
          <w:vertAlign w:val="superscript"/>
          <w:lang w:val="fr-FR"/>
        </w:rPr>
        <w:t>o</w:t>
      </w:r>
      <w:r w:rsidR="005869AD" w:rsidRPr="00844541">
        <w:rPr>
          <w:lang w:val="fr-FR"/>
        </w:rPr>
        <w:t xml:space="preserve"> 57325/00, §</w:t>
      </w:r>
      <w:r w:rsidR="000A53AD" w:rsidRPr="00844541">
        <w:rPr>
          <w:lang w:val="fr-FR"/>
        </w:rPr>
        <w:t> </w:t>
      </w:r>
      <w:r w:rsidR="005869AD" w:rsidRPr="00844541">
        <w:rPr>
          <w:lang w:val="fr-FR"/>
        </w:rPr>
        <w:t>175, CEDH 2007</w:t>
      </w:r>
      <w:r w:rsidR="005869AD" w:rsidRPr="00844541">
        <w:rPr>
          <w:lang w:val="fr-FR"/>
        </w:rPr>
        <w:noBreakHyphen/>
        <w:t>IV</w:t>
      </w:r>
      <w:r w:rsidR="004E18C0" w:rsidRPr="00844541">
        <w:rPr>
          <w:lang w:val="fr-FR"/>
        </w:rPr>
        <w:t>). Toutefois, l</w:t>
      </w:r>
      <w:r w:rsidR="00844541">
        <w:rPr>
          <w:lang w:val="fr-FR"/>
        </w:rPr>
        <w:t>’</w:t>
      </w:r>
      <w:r w:rsidR="004E18C0" w:rsidRPr="00844541">
        <w:rPr>
          <w:lang w:val="fr-FR"/>
        </w:rPr>
        <w:t>article 14 n</w:t>
      </w:r>
      <w:r w:rsidR="00844541">
        <w:rPr>
          <w:lang w:val="fr-FR"/>
        </w:rPr>
        <w:t>’</w:t>
      </w:r>
      <w:r w:rsidR="004E18C0" w:rsidRPr="00844541">
        <w:rPr>
          <w:lang w:val="fr-FR"/>
        </w:rPr>
        <w:t xml:space="preserve">interdit pas à un </w:t>
      </w:r>
      <w:r w:rsidR="000A53AD" w:rsidRPr="00844541">
        <w:rPr>
          <w:lang w:val="fr-FR"/>
        </w:rPr>
        <w:t>État</w:t>
      </w:r>
      <w:r w:rsidR="004E18C0" w:rsidRPr="00844541">
        <w:rPr>
          <w:lang w:val="fr-FR"/>
        </w:rPr>
        <w:t xml:space="preserve"> membre de traiter des groupes de manière différenciée pour corriger des « inégalités factuelles » entre eux ; de fait, dans certaines circonstances, c</w:t>
      </w:r>
      <w:r w:rsidR="00844541">
        <w:rPr>
          <w:lang w:val="fr-FR"/>
        </w:rPr>
        <w:t>’</w:t>
      </w:r>
      <w:r w:rsidR="004E18C0" w:rsidRPr="00844541">
        <w:rPr>
          <w:lang w:val="fr-FR"/>
        </w:rPr>
        <w:t>est l</w:t>
      </w:r>
      <w:r w:rsidR="00844541">
        <w:rPr>
          <w:lang w:val="fr-FR"/>
        </w:rPr>
        <w:t>’</w:t>
      </w:r>
      <w:r w:rsidR="004E18C0" w:rsidRPr="00844541">
        <w:rPr>
          <w:lang w:val="fr-FR"/>
        </w:rPr>
        <w:t>absence d</w:t>
      </w:r>
      <w:r w:rsidR="00844541">
        <w:rPr>
          <w:lang w:val="fr-FR"/>
        </w:rPr>
        <w:t>’</w:t>
      </w:r>
      <w:r w:rsidR="004E18C0" w:rsidRPr="00844541">
        <w:rPr>
          <w:lang w:val="fr-FR"/>
        </w:rPr>
        <w:t>un traitement différencié pour corriger une inégalité qui peut, sans justification objective et raisonnable, emporter violation de la disposition en cause (</w:t>
      </w:r>
      <w:r w:rsidR="004E18C0" w:rsidRPr="00844541">
        <w:rPr>
          <w:i/>
          <w:lang w:val="fr-FR"/>
        </w:rPr>
        <w:t>Thlimmenos</w:t>
      </w:r>
      <w:r w:rsidR="004E18C0" w:rsidRPr="00844541">
        <w:rPr>
          <w:i/>
          <w:iCs/>
          <w:lang w:val="fr-FR"/>
        </w:rPr>
        <w:t xml:space="preserve"> c. Grèce </w:t>
      </w:r>
      <w:r w:rsidR="004E18C0" w:rsidRPr="00844541">
        <w:rPr>
          <w:iCs/>
          <w:lang w:val="fr-FR"/>
        </w:rPr>
        <w:t>[GC]</w:t>
      </w:r>
      <w:r w:rsidR="004E18C0" w:rsidRPr="00844541">
        <w:rPr>
          <w:lang w:val="fr-FR"/>
        </w:rPr>
        <w:t>, n</w:t>
      </w:r>
      <w:r w:rsidR="004E18C0" w:rsidRPr="00844541">
        <w:rPr>
          <w:vertAlign w:val="superscript"/>
          <w:lang w:val="fr-FR"/>
        </w:rPr>
        <w:t>o</w:t>
      </w:r>
      <w:r w:rsidR="004E18C0" w:rsidRPr="00844541">
        <w:rPr>
          <w:lang w:val="fr-FR"/>
        </w:rPr>
        <w:t xml:space="preserve"> 34369/97, § 44, CEDH 2000-IV ; </w:t>
      </w:r>
      <w:r w:rsidR="004E18C0" w:rsidRPr="00844541">
        <w:rPr>
          <w:i/>
          <w:szCs w:val="24"/>
          <w:lang w:val="fr-FR"/>
        </w:rPr>
        <w:t>Stec et autres c. Royaume-Uni</w:t>
      </w:r>
      <w:r w:rsidR="004E18C0" w:rsidRPr="00844541">
        <w:rPr>
          <w:szCs w:val="24"/>
          <w:lang w:val="fr-FR"/>
        </w:rPr>
        <w:t xml:space="preserve"> [GC], n</w:t>
      </w:r>
      <w:r w:rsidR="004E18C0" w:rsidRPr="00844541">
        <w:rPr>
          <w:szCs w:val="24"/>
          <w:vertAlign w:val="superscript"/>
          <w:lang w:val="fr-FR"/>
        </w:rPr>
        <w:t>o</w:t>
      </w:r>
      <w:r w:rsidR="004E18C0" w:rsidRPr="00844541">
        <w:rPr>
          <w:szCs w:val="24"/>
          <w:lang w:val="fr-FR"/>
        </w:rPr>
        <w:t xml:space="preserve"> 65731/01, § 51, CEDH 2006</w:t>
      </w:r>
      <w:r w:rsidR="004E18C0" w:rsidRPr="00844541">
        <w:rPr>
          <w:szCs w:val="24"/>
          <w:lang w:val="fr-FR"/>
        </w:rPr>
        <w:noBreakHyphen/>
        <w:t>VI</w:t>
      </w:r>
      <w:r w:rsidR="004E18C0" w:rsidRPr="00844541">
        <w:rPr>
          <w:lang w:val="fr-FR"/>
        </w:rPr>
        <w:t xml:space="preserve">). La Cour a également admis que pouvait être considérée comme </w:t>
      </w:r>
      <w:r w:rsidR="004E18C0" w:rsidRPr="00844541">
        <w:rPr>
          <w:lang w:val="fr-FR"/>
        </w:rPr>
        <w:lastRenderedPageBreak/>
        <w:t>discriminatoire une politique ou une mesure générale qui avait des effets préjudiciables disproportionnés sur un groupe de personnes, même si elle ne visait pas spécifiquement ce groupe (</w:t>
      </w:r>
      <w:r w:rsidR="00926727" w:rsidRPr="00844541">
        <w:rPr>
          <w:i/>
          <w:lang w:val="fr-FR"/>
        </w:rPr>
        <w:t>Hoogendijk c. Pays-Bas</w:t>
      </w:r>
      <w:r w:rsidR="00926727" w:rsidRPr="00844541">
        <w:rPr>
          <w:lang w:val="fr-FR"/>
        </w:rPr>
        <w:t xml:space="preserve"> (déc.), n</w:t>
      </w:r>
      <w:r w:rsidR="00926727" w:rsidRPr="00844541">
        <w:rPr>
          <w:vertAlign w:val="superscript"/>
          <w:lang w:val="fr-FR"/>
        </w:rPr>
        <w:t>o</w:t>
      </w:r>
      <w:r w:rsidR="00926727" w:rsidRPr="00844541">
        <w:rPr>
          <w:lang w:val="fr-FR"/>
        </w:rPr>
        <w:t> 58641/00, 6 janvier 2005 </w:t>
      </w:r>
      <w:r w:rsidR="004E18C0" w:rsidRPr="00844541">
        <w:rPr>
          <w:lang w:val="fr-FR"/>
        </w:rPr>
        <w:t>), et qu</w:t>
      </w:r>
      <w:r w:rsidR="00844541">
        <w:rPr>
          <w:lang w:val="fr-FR"/>
        </w:rPr>
        <w:t>’</w:t>
      </w:r>
      <w:r w:rsidR="004E18C0" w:rsidRPr="00844541">
        <w:rPr>
          <w:lang w:val="fr-FR"/>
        </w:rPr>
        <w:t>une discrimination potentiellement contraire à la Convention pouvait résulter d</w:t>
      </w:r>
      <w:r w:rsidR="00844541">
        <w:rPr>
          <w:lang w:val="fr-FR"/>
        </w:rPr>
        <w:t>’</w:t>
      </w:r>
      <w:r w:rsidR="004E18C0" w:rsidRPr="00844541">
        <w:rPr>
          <w:lang w:val="fr-FR"/>
        </w:rPr>
        <w:t>une situation de fait (</w:t>
      </w:r>
      <w:r w:rsidR="00615013" w:rsidRPr="00844541">
        <w:rPr>
          <w:i/>
          <w:lang w:val="fr-FR"/>
        </w:rPr>
        <w:t>Zarb </w:t>
      </w:r>
      <w:r w:rsidR="00A07157" w:rsidRPr="00844541">
        <w:rPr>
          <w:i/>
          <w:lang w:val="fr-FR"/>
        </w:rPr>
        <w:t>Adami c. Malte</w:t>
      </w:r>
      <w:r w:rsidR="00A07157" w:rsidRPr="00844541">
        <w:rPr>
          <w:lang w:val="fr-FR"/>
        </w:rPr>
        <w:t>, n</w:t>
      </w:r>
      <w:r w:rsidR="00A07157" w:rsidRPr="00844541">
        <w:rPr>
          <w:vertAlign w:val="superscript"/>
          <w:lang w:val="fr-FR"/>
        </w:rPr>
        <w:t>o</w:t>
      </w:r>
      <w:r w:rsidR="00A07157" w:rsidRPr="00844541">
        <w:rPr>
          <w:lang w:val="fr-FR"/>
        </w:rPr>
        <w:t xml:space="preserve"> 17209/02, § 76, CEDH 2006</w:t>
      </w:r>
      <w:r w:rsidR="00A07157" w:rsidRPr="00844541">
        <w:rPr>
          <w:lang w:val="fr-FR"/>
        </w:rPr>
        <w:noBreakHyphen/>
        <w:t>VIII</w:t>
      </w:r>
      <w:r w:rsidR="004E18C0" w:rsidRPr="00844541">
        <w:rPr>
          <w:lang w:val="fr-FR"/>
        </w:rPr>
        <w:t>).</w:t>
      </w:r>
    </w:p>
    <w:p w:rsidR="00B43D08"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111</w:t>
      </w:r>
      <w:r w:rsidRPr="00844541">
        <w:rPr>
          <w:noProof/>
        </w:rPr>
        <w:fldChar w:fldCharType="end"/>
      </w:r>
      <w:r w:rsidR="00F21822" w:rsidRPr="00844541">
        <w:rPr>
          <w:lang w:val="fr-FR"/>
        </w:rPr>
        <w:t>.  </w:t>
      </w:r>
      <w:r w:rsidR="00A52A0F" w:rsidRPr="00844541">
        <w:rPr>
          <w:lang w:val="fr-FR"/>
        </w:rPr>
        <w:t>Une distinction est discriminatoire si elle manque de justification objective et raisonnable, c</w:t>
      </w:r>
      <w:r w:rsidR="00844541">
        <w:rPr>
          <w:lang w:val="fr-FR"/>
        </w:rPr>
        <w:t>’</w:t>
      </w:r>
      <w:r w:rsidR="00A52A0F" w:rsidRPr="00844541">
        <w:rPr>
          <w:lang w:val="fr-FR"/>
        </w:rPr>
        <w:t>est-à-dire si elle ne poursuit pas un but légitime ou s</w:t>
      </w:r>
      <w:r w:rsidR="00844541">
        <w:rPr>
          <w:lang w:val="fr-FR"/>
        </w:rPr>
        <w:t>’</w:t>
      </w:r>
      <w:r w:rsidR="00A52A0F" w:rsidRPr="00844541">
        <w:rPr>
          <w:lang w:val="fr-FR"/>
        </w:rPr>
        <w:t>il n</w:t>
      </w:r>
      <w:r w:rsidR="00844541">
        <w:rPr>
          <w:lang w:val="fr-FR"/>
        </w:rPr>
        <w:t>’</w:t>
      </w:r>
      <w:r w:rsidR="00A52A0F" w:rsidRPr="00844541">
        <w:rPr>
          <w:lang w:val="fr-FR"/>
        </w:rPr>
        <w:t>y a pas un rapport raisonnable de proportionnalité entre les moyens employés et le but visé. (</w:t>
      </w:r>
      <w:r w:rsidR="00A52A0F" w:rsidRPr="00844541">
        <w:rPr>
          <w:i/>
          <w:lang w:val="fr-FR"/>
        </w:rPr>
        <w:t>Stec et autres c. Royaume-Uni</w:t>
      </w:r>
      <w:r w:rsidR="00A52A0F" w:rsidRPr="00844541">
        <w:rPr>
          <w:lang w:val="fr-FR"/>
        </w:rPr>
        <w:t xml:space="preserve"> [GC], </w:t>
      </w:r>
      <w:r w:rsidR="00870C78" w:rsidRPr="00844541">
        <w:rPr>
          <w:lang w:val="fr-FR"/>
        </w:rPr>
        <w:t>précité</w:t>
      </w:r>
      <w:r w:rsidR="00A52A0F" w:rsidRPr="00844541">
        <w:rPr>
          <w:lang w:val="fr-FR"/>
        </w:rPr>
        <w:t>, § 51).</w:t>
      </w:r>
    </w:p>
    <w:p w:rsidR="00F21822" w:rsidRPr="00844541" w:rsidRDefault="00F21822" w:rsidP="00844541">
      <w:pPr>
        <w:pStyle w:val="ECHRHeading4"/>
      </w:pPr>
      <w:r w:rsidRPr="00844541">
        <w:t>b)</w:t>
      </w:r>
      <w:r w:rsidR="00C37E41" w:rsidRPr="00844541">
        <w:t>  </w:t>
      </w:r>
      <w:r w:rsidRPr="00844541">
        <w:t>L</w:t>
      </w:r>
      <w:r w:rsidR="00844541">
        <w:t>’</w:t>
      </w:r>
      <w:r w:rsidRPr="00844541">
        <w:t>application des principes en l</w:t>
      </w:r>
      <w:r w:rsidR="00844541">
        <w:t>’</w:t>
      </w:r>
      <w:r w:rsidRPr="00844541">
        <w:t>espèce</w:t>
      </w:r>
    </w:p>
    <w:p w:rsidR="00265925" w:rsidRPr="00844541" w:rsidRDefault="004C1AE4"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112</w:t>
      </w:r>
      <w:r w:rsidRPr="00844541">
        <w:rPr>
          <w:noProof/>
        </w:rPr>
        <w:fldChar w:fldCharType="end"/>
      </w:r>
      <w:r w:rsidR="00265925" w:rsidRPr="00844541">
        <w:rPr>
          <w:lang w:val="fr-FR"/>
        </w:rPr>
        <w:t>.  La Cour note qu</w:t>
      </w:r>
      <w:r w:rsidR="00844541">
        <w:rPr>
          <w:lang w:val="fr-FR"/>
        </w:rPr>
        <w:t>’</w:t>
      </w:r>
      <w:r w:rsidR="00265925" w:rsidRPr="00844541">
        <w:rPr>
          <w:lang w:val="fr-FR"/>
        </w:rPr>
        <w:t>en l</w:t>
      </w:r>
      <w:r w:rsidR="00844541">
        <w:rPr>
          <w:lang w:val="fr-FR"/>
        </w:rPr>
        <w:t>’</w:t>
      </w:r>
      <w:r w:rsidR="00265925" w:rsidRPr="00844541">
        <w:rPr>
          <w:lang w:val="fr-FR"/>
        </w:rPr>
        <w:t>espèce les requérants se prétendent victimes d</w:t>
      </w:r>
      <w:r w:rsidR="00844541">
        <w:rPr>
          <w:lang w:val="fr-FR"/>
        </w:rPr>
        <w:t>’</w:t>
      </w:r>
      <w:r w:rsidR="00265925" w:rsidRPr="00844541">
        <w:rPr>
          <w:lang w:val="fr-FR"/>
        </w:rPr>
        <w:t>une discrimination dans l</w:t>
      </w:r>
      <w:r w:rsidR="00844541">
        <w:rPr>
          <w:lang w:val="fr-FR"/>
        </w:rPr>
        <w:t>’</w:t>
      </w:r>
      <w:r w:rsidR="00265925" w:rsidRPr="00844541">
        <w:rPr>
          <w:lang w:val="fr-FR"/>
        </w:rPr>
        <w:t>exercice de leur droit d</w:t>
      </w:r>
      <w:r w:rsidR="00844541">
        <w:rPr>
          <w:lang w:val="fr-FR"/>
        </w:rPr>
        <w:t>’</w:t>
      </w:r>
      <w:r w:rsidR="00265925" w:rsidRPr="00844541">
        <w:rPr>
          <w:lang w:val="fr-FR"/>
        </w:rPr>
        <w:t>accès à un tribunal, discrimination qui serait fondée sur l</w:t>
      </w:r>
      <w:r w:rsidR="00844541">
        <w:rPr>
          <w:lang w:val="fr-FR"/>
        </w:rPr>
        <w:t>’</w:t>
      </w:r>
      <w:r w:rsidR="00265925" w:rsidRPr="00844541">
        <w:rPr>
          <w:lang w:val="fr-FR"/>
        </w:rPr>
        <w:t>application par les juridictions internes du critère de la volonté des fidèles de la communauté détentrice du bien, communauté qui était la partie défenderesse dans la procédure. Compte tenu également du fait que la communauté orthodoxe détentrice du bien représente la religion majoritaire à Lupeni, les intéressés estiment avoir subi une discrimination qui serait fondée sur leur appartenance à une minorité religieuse.</w:t>
      </w:r>
    </w:p>
    <w:p w:rsidR="00265925" w:rsidRPr="00844541" w:rsidRDefault="004C1AE4"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113</w:t>
      </w:r>
      <w:r w:rsidRPr="00844541">
        <w:rPr>
          <w:noProof/>
        </w:rPr>
        <w:fldChar w:fldCharType="end"/>
      </w:r>
      <w:r w:rsidR="00265925" w:rsidRPr="00844541">
        <w:rPr>
          <w:lang w:val="fr-FR"/>
        </w:rPr>
        <w:t>.  La Cour estime dès lors que le grief des requérants relève de l</w:t>
      </w:r>
      <w:r w:rsidR="00844541">
        <w:rPr>
          <w:lang w:val="fr-FR"/>
        </w:rPr>
        <w:t>’</w:t>
      </w:r>
      <w:r w:rsidR="00265925" w:rsidRPr="00844541">
        <w:rPr>
          <w:lang w:val="fr-FR"/>
        </w:rPr>
        <w:t>article 14 de la Convention qui, dans les circonstances de l</w:t>
      </w:r>
      <w:r w:rsidR="00844541">
        <w:rPr>
          <w:lang w:val="fr-FR"/>
        </w:rPr>
        <w:t>’</w:t>
      </w:r>
      <w:r w:rsidR="00265925" w:rsidRPr="00844541">
        <w:rPr>
          <w:lang w:val="fr-FR"/>
        </w:rPr>
        <w:t>espèce, s</w:t>
      </w:r>
      <w:r w:rsidR="00844541">
        <w:rPr>
          <w:lang w:val="fr-FR"/>
        </w:rPr>
        <w:t>’</w:t>
      </w:r>
      <w:r w:rsidR="00265925" w:rsidRPr="00844541">
        <w:rPr>
          <w:lang w:val="fr-FR"/>
        </w:rPr>
        <w:t>applique en combinaison avec l</w:t>
      </w:r>
      <w:r w:rsidR="00844541">
        <w:rPr>
          <w:lang w:val="fr-FR"/>
        </w:rPr>
        <w:t>’</w:t>
      </w:r>
      <w:r w:rsidR="00265925" w:rsidRPr="00844541">
        <w:rPr>
          <w:lang w:val="fr-FR"/>
        </w:rPr>
        <w:t>article 6 § 1 de la Convention.</w:t>
      </w:r>
    </w:p>
    <w:p w:rsidR="001E7A4D" w:rsidRPr="00844541" w:rsidRDefault="001E7A4D" w:rsidP="00844541">
      <w:pPr>
        <w:pStyle w:val="ECHRHeading5"/>
      </w:pPr>
      <w:r w:rsidRPr="00844541">
        <w:t>i.  Sur le point de savoir s</w:t>
      </w:r>
      <w:r w:rsidR="00844541">
        <w:t>’</w:t>
      </w:r>
      <w:r w:rsidRPr="00844541">
        <w:t xml:space="preserve">il y a eu </w:t>
      </w:r>
      <w:r w:rsidR="00813C2B" w:rsidRPr="00844541">
        <w:t>différence</w:t>
      </w:r>
      <w:r w:rsidRPr="00844541">
        <w:t xml:space="preserve"> de traitement fondée sur la religion entre des personnes se trouvant dans des situations similaires</w:t>
      </w:r>
    </w:p>
    <w:p w:rsidR="00F24707"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114</w:t>
      </w:r>
      <w:r w:rsidRPr="00844541">
        <w:rPr>
          <w:noProof/>
        </w:rPr>
        <w:fldChar w:fldCharType="end"/>
      </w:r>
      <w:r w:rsidR="00B67711" w:rsidRPr="00844541">
        <w:rPr>
          <w:lang w:val="fr-FR"/>
        </w:rPr>
        <w:t>.  La Cour note que</w:t>
      </w:r>
      <w:r w:rsidR="009D4CE3" w:rsidRPr="00844541">
        <w:rPr>
          <w:lang w:val="fr-FR"/>
        </w:rPr>
        <w:t>,</w:t>
      </w:r>
      <w:r w:rsidR="00B67711" w:rsidRPr="00844541">
        <w:rPr>
          <w:lang w:val="fr-FR"/>
        </w:rPr>
        <w:t xml:space="preserve"> </w:t>
      </w:r>
      <w:r w:rsidR="00826559" w:rsidRPr="00844541">
        <w:rPr>
          <w:lang w:val="fr-FR"/>
        </w:rPr>
        <w:t xml:space="preserve">ainsi </w:t>
      </w:r>
      <w:r w:rsidR="00B67711" w:rsidRPr="00844541">
        <w:rPr>
          <w:lang w:val="fr-FR"/>
        </w:rPr>
        <w:t>qu</w:t>
      </w:r>
      <w:r w:rsidR="00844541">
        <w:rPr>
          <w:lang w:val="fr-FR"/>
        </w:rPr>
        <w:t>’</w:t>
      </w:r>
      <w:r w:rsidR="00826559" w:rsidRPr="00844541">
        <w:rPr>
          <w:lang w:val="fr-FR"/>
        </w:rPr>
        <w:t>il est</w:t>
      </w:r>
      <w:r w:rsidR="00B67711" w:rsidRPr="00844541">
        <w:rPr>
          <w:lang w:val="fr-FR"/>
        </w:rPr>
        <w:t xml:space="preserve"> libellé dans l</w:t>
      </w:r>
      <w:r w:rsidR="00844541">
        <w:rPr>
          <w:lang w:val="fr-FR"/>
        </w:rPr>
        <w:t>’</w:t>
      </w:r>
      <w:r w:rsidR="00B67711" w:rsidRPr="00844541">
        <w:rPr>
          <w:lang w:val="fr-FR"/>
        </w:rPr>
        <w:t>article 3 du décret-loi n</w:t>
      </w:r>
      <w:r w:rsidR="00B67711" w:rsidRPr="00844541">
        <w:rPr>
          <w:vertAlign w:val="superscript"/>
          <w:lang w:val="fr-FR"/>
        </w:rPr>
        <w:t>o</w:t>
      </w:r>
      <w:r w:rsidR="00B67711" w:rsidRPr="00844541">
        <w:rPr>
          <w:lang w:val="fr-FR"/>
        </w:rPr>
        <w:t xml:space="preserve"> 126/1990, le critère </w:t>
      </w:r>
      <w:r w:rsidR="00826559" w:rsidRPr="00844541">
        <w:rPr>
          <w:lang w:val="fr-FR"/>
        </w:rPr>
        <w:t>en cause impose aux</w:t>
      </w:r>
      <w:r w:rsidR="00B67711" w:rsidRPr="00844541">
        <w:rPr>
          <w:lang w:val="fr-FR"/>
        </w:rPr>
        <w:t xml:space="preserve"> commissions mixtes </w:t>
      </w:r>
      <w:r w:rsidR="00826559" w:rsidRPr="00844541">
        <w:rPr>
          <w:lang w:val="fr-FR"/>
        </w:rPr>
        <w:t>de</w:t>
      </w:r>
      <w:r w:rsidR="005B21F8" w:rsidRPr="00844541">
        <w:rPr>
          <w:lang w:val="fr-FR"/>
        </w:rPr>
        <w:t xml:space="preserve"> prendre en </w:t>
      </w:r>
      <w:r w:rsidR="00B67711" w:rsidRPr="00844541">
        <w:rPr>
          <w:lang w:val="fr-FR"/>
        </w:rPr>
        <w:t xml:space="preserve">compte « la volonté des </w:t>
      </w:r>
      <w:r w:rsidR="00101B5A" w:rsidRPr="00844541">
        <w:rPr>
          <w:lang w:val="fr-FR"/>
        </w:rPr>
        <w:t xml:space="preserve">fidèles des communautés détentrices des </w:t>
      </w:r>
      <w:r w:rsidR="00B67711" w:rsidRPr="00844541">
        <w:rPr>
          <w:lang w:val="fr-FR"/>
        </w:rPr>
        <w:t xml:space="preserve">biens ». </w:t>
      </w:r>
      <w:r w:rsidR="005B21F8" w:rsidRPr="00844541">
        <w:rPr>
          <w:lang w:val="fr-FR"/>
        </w:rPr>
        <w:t>Elle relève qu</w:t>
      </w:r>
      <w:r w:rsidR="00844541">
        <w:rPr>
          <w:lang w:val="fr-FR"/>
        </w:rPr>
        <w:t>’</w:t>
      </w:r>
      <w:r w:rsidR="00B67711" w:rsidRPr="00844541">
        <w:rPr>
          <w:lang w:val="fr-FR"/>
        </w:rPr>
        <w:t>aucune différence de traitement fondée sur la religion</w:t>
      </w:r>
      <w:r w:rsidR="002E6DAE" w:rsidRPr="00844541">
        <w:rPr>
          <w:lang w:val="fr-FR"/>
        </w:rPr>
        <w:t xml:space="preserve"> n</w:t>
      </w:r>
      <w:r w:rsidR="009D4CE3" w:rsidRPr="00844541">
        <w:rPr>
          <w:lang w:val="fr-FR"/>
        </w:rPr>
        <w:t>e figure</w:t>
      </w:r>
      <w:r w:rsidR="00B67711" w:rsidRPr="00844541">
        <w:rPr>
          <w:lang w:val="fr-FR"/>
        </w:rPr>
        <w:t xml:space="preserve"> </w:t>
      </w:r>
      <w:r w:rsidR="009D4CE3" w:rsidRPr="00844541">
        <w:rPr>
          <w:lang w:val="fr-FR"/>
        </w:rPr>
        <w:t>dans</w:t>
      </w:r>
      <w:r w:rsidR="00B67711" w:rsidRPr="00844541">
        <w:rPr>
          <w:lang w:val="fr-FR"/>
        </w:rPr>
        <w:t xml:space="preserve"> le texte de loi</w:t>
      </w:r>
      <w:r w:rsidR="005B21F8" w:rsidRPr="00844541">
        <w:rPr>
          <w:lang w:val="fr-FR"/>
        </w:rPr>
        <w:t xml:space="preserve"> critiqué</w:t>
      </w:r>
      <w:r w:rsidR="00B67711" w:rsidRPr="00844541">
        <w:rPr>
          <w:lang w:val="fr-FR"/>
        </w:rPr>
        <w:t xml:space="preserve">. </w:t>
      </w:r>
      <w:r w:rsidR="00F24707" w:rsidRPr="00844541">
        <w:rPr>
          <w:lang w:val="fr-FR"/>
        </w:rPr>
        <w:t>Les requérants soutient toutefois que la discrimination litigieuse serait le résultat d</w:t>
      </w:r>
      <w:r w:rsidR="00844541">
        <w:rPr>
          <w:lang w:val="fr-FR"/>
        </w:rPr>
        <w:t>’</w:t>
      </w:r>
      <w:r w:rsidR="00F24707" w:rsidRPr="00844541">
        <w:rPr>
          <w:lang w:val="fr-FR"/>
        </w:rPr>
        <w:t>une situation de fait évidente, à savoir que les détenteurs des biens revendiqués sont toujours représentés par l</w:t>
      </w:r>
      <w:r w:rsidR="00844541">
        <w:rPr>
          <w:lang w:val="fr-FR"/>
        </w:rPr>
        <w:t>’</w:t>
      </w:r>
      <w:r w:rsidR="00F24707" w:rsidRPr="00844541">
        <w:rPr>
          <w:lang w:val="fr-FR"/>
        </w:rPr>
        <w:t>Église orthodoxe qui est la religion majoritaire du pays.</w:t>
      </w:r>
    </w:p>
    <w:p w:rsidR="00767866" w:rsidRPr="00844541" w:rsidRDefault="00D01A28" w:rsidP="00844541">
      <w:pPr>
        <w:pStyle w:val="ECHRPara"/>
        <w:rPr>
          <w:noProof/>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115</w:t>
      </w:r>
      <w:r w:rsidRPr="00844541">
        <w:rPr>
          <w:noProof/>
        </w:rPr>
        <w:fldChar w:fldCharType="end"/>
      </w:r>
      <w:r w:rsidR="00723E95" w:rsidRPr="00844541">
        <w:rPr>
          <w:lang w:val="fr-FR"/>
        </w:rPr>
        <w:t>.  </w:t>
      </w:r>
      <w:r w:rsidR="00F24707" w:rsidRPr="00844541">
        <w:rPr>
          <w:lang w:val="fr-FR"/>
        </w:rPr>
        <w:t>La Cour</w:t>
      </w:r>
      <w:r w:rsidR="005B21F8" w:rsidRPr="00844541">
        <w:rPr>
          <w:lang w:val="fr-FR"/>
        </w:rPr>
        <w:t xml:space="preserve"> observe que </w:t>
      </w:r>
      <w:r w:rsidR="002E6DAE" w:rsidRPr="00844541">
        <w:rPr>
          <w:lang w:val="fr-FR"/>
        </w:rPr>
        <w:t>le lieu de culte en litige était détenu par l</w:t>
      </w:r>
      <w:r w:rsidR="00844541">
        <w:rPr>
          <w:lang w:val="fr-FR"/>
        </w:rPr>
        <w:t>’</w:t>
      </w:r>
      <w:r w:rsidR="002E6DAE" w:rsidRPr="00844541">
        <w:rPr>
          <w:lang w:val="fr-FR"/>
        </w:rPr>
        <w:t xml:space="preserve">Église orthodoxe de Lupeni, </w:t>
      </w:r>
      <w:r w:rsidR="007C52DC" w:rsidRPr="00844541">
        <w:rPr>
          <w:lang w:val="fr-FR"/>
        </w:rPr>
        <w:t xml:space="preserve">celle-ci étant </w:t>
      </w:r>
      <w:r w:rsidR="002E6DAE" w:rsidRPr="00844541">
        <w:rPr>
          <w:lang w:val="fr-FR"/>
        </w:rPr>
        <w:t xml:space="preserve">partie défenderesse dans la procédure. </w:t>
      </w:r>
      <w:r w:rsidR="00F24707" w:rsidRPr="00844541">
        <w:rPr>
          <w:lang w:val="fr-FR"/>
        </w:rPr>
        <w:t>D</w:t>
      </w:r>
      <w:r w:rsidR="00844541">
        <w:rPr>
          <w:lang w:val="fr-FR"/>
        </w:rPr>
        <w:t>’</w:t>
      </w:r>
      <w:r w:rsidR="00F24707" w:rsidRPr="00844541">
        <w:rPr>
          <w:lang w:val="fr-FR"/>
        </w:rPr>
        <w:t>ailleurs, elle constate que, tel qu</w:t>
      </w:r>
      <w:r w:rsidR="00844541">
        <w:rPr>
          <w:lang w:val="fr-FR"/>
        </w:rPr>
        <w:t>’</w:t>
      </w:r>
      <w:r w:rsidR="00F24707" w:rsidRPr="00844541">
        <w:rPr>
          <w:lang w:val="fr-FR"/>
        </w:rPr>
        <w:t xml:space="preserve">il ressort des données historiques </w:t>
      </w:r>
      <w:r w:rsidR="00F863AA" w:rsidRPr="00844541">
        <w:rPr>
          <w:lang w:val="fr-FR"/>
        </w:rPr>
        <w:t>présentées</w:t>
      </w:r>
      <w:r w:rsidR="00F24707" w:rsidRPr="00844541">
        <w:rPr>
          <w:lang w:val="fr-FR"/>
        </w:rPr>
        <w:t xml:space="preserve"> par les parties, de manière </w:t>
      </w:r>
      <w:r w:rsidR="00F863AA" w:rsidRPr="00844541">
        <w:rPr>
          <w:lang w:val="fr-FR"/>
        </w:rPr>
        <w:t>générale</w:t>
      </w:r>
      <w:r w:rsidR="00E87EC6" w:rsidRPr="00844541">
        <w:rPr>
          <w:lang w:val="fr-FR"/>
        </w:rPr>
        <w:t>,</w:t>
      </w:r>
      <w:r w:rsidR="00F24707" w:rsidRPr="00844541">
        <w:rPr>
          <w:lang w:val="fr-FR"/>
        </w:rPr>
        <w:t xml:space="preserve"> dans les cas où le décret-loi n</w:t>
      </w:r>
      <w:r w:rsidR="00F24707" w:rsidRPr="00844541">
        <w:rPr>
          <w:vertAlign w:val="superscript"/>
          <w:lang w:val="fr-FR"/>
        </w:rPr>
        <w:t>o</w:t>
      </w:r>
      <w:r w:rsidR="00F24707" w:rsidRPr="00844541">
        <w:rPr>
          <w:lang w:val="fr-FR"/>
        </w:rPr>
        <w:t xml:space="preserve"> 126/1990 est appelé à s</w:t>
      </w:r>
      <w:r w:rsidR="00844541">
        <w:rPr>
          <w:lang w:val="fr-FR"/>
        </w:rPr>
        <w:t>’</w:t>
      </w:r>
      <w:r w:rsidR="00F24707" w:rsidRPr="00844541">
        <w:rPr>
          <w:lang w:val="fr-FR"/>
        </w:rPr>
        <w:t>appliquer, les lieu</w:t>
      </w:r>
      <w:r w:rsidR="008731A5" w:rsidRPr="00844541">
        <w:rPr>
          <w:lang w:val="fr-FR"/>
        </w:rPr>
        <w:t>x</w:t>
      </w:r>
      <w:r w:rsidR="00F24707" w:rsidRPr="00844541">
        <w:rPr>
          <w:lang w:val="fr-FR"/>
        </w:rPr>
        <w:t xml:space="preserve"> de culte revendiqués sont détenus par des entités appartenant à l</w:t>
      </w:r>
      <w:r w:rsidR="00844541">
        <w:rPr>
          <w:lang w:val="fr-FR"/>
        </w:rPr>
        <w:t>’</w:t>
      </w:r>
      <w:r w:rsidR="00F863AA" w:rsidRPr="00844541">
        <w:rPr>
          <w:lang w:val="fr-FR"/>
        </w:rPr>
        <w:t>Église</w:t>
      </w:r>
      <w:r w:rsidR="00F24707" w:rsidRPr="00844541">
        <w:rPr>
          <w:lang w:val="fr-FR"/>
        </w:rPr>
        <w:t xml:space="preserve"> orthodoxe, l</w:t>
      </w:r>
      <w:r w:rsidR="00844541">
        <w:rPr>
          <w:lang w:val="fr-FR"/>
        </w:rPr>
        <w:t>’</w:t>
      </w:r>
      <w:r w:rsidR="00F24707" w:rsidRPr="00844541">
        <w:rPr>
          <w:lang w:val="fr-FR"/>
        </w:rPr>
        <w:t>Église gréco-catholique étant en position de d</w:t>
      </w:r>
      <w:r w:rsidR="00E91C22" w:rsidRPr="00844541">
        <w:rPr>
          <w:lang w:val="fr-FR"/>
        </w:rPr>
        <w:t>e</w:t>
      </w:r>
      <w:r w:rsidR="00F24707" w:rsidRPr="00844541">
        <w:rPr>
          <w:lang w:val="fr-FR"/>
        </w:rPr>
        <w:t>mander l</w:t>
      </w:r>
      <w:r w:rsidR="00872EE2" w:rsidRPr="00844541">
        <w:rPr>
          <w:lang w:val="fr-FR"/>
        </w:rPr>
        <w:t>eur</w:t>
      </w:r>
      <w:r w:rsidR="00F24707" w:rsidRPr="00844541">
        <w:rPr>
          <w:lang w:val="fr-FR"/>
        </w:rPr>
        <w:t xml:space="preserve"> restitution</w:t>
      </w:r>
      <w:r w:rsidR="00E87EC6" w:rsidRPr="00844541">
        <w:rPr>
          <w:lang w:val="fr-FR"/>
        </w:rPr>
        <w:t xml:space="preserve"> (paragraphe </w:t>
      </w:r>
      <w:r w:rsidR="002B5869" w:rsidRPr="00844541">
        <w:fldChar w:fldCharType="begin"/>
      </w:r>
      <w:r w:rsidR="002B5869" w:rsidRPr="00844541">
        <w:rPr>
          <w:lang w:val="fr-FR"/>
        </w:rPr>
        <w:instrText xml:space="preserve"> REF P9 \h </w:instrText>
      </w:r>
      <w:r w:rsidR="004C1AE4" w:rsidRPr="00844541">
        <w:rPr>
          <w:lang w:val="fr-FR"/>
        </w:rPr>
        <w:instrText xml:space="preserve"> \* MERGEFORMAT </w:instrText>
      </w:r>
      <w:r w:rsidR="002B5869" w:rsidRPr="00844541">
        <w:fldChar w:fldCharType="separate"/>
      </w:r>
    </w:p>
    <w:p w:rsidR="00872EE2" w:rsidRPr="00844541" w:rsidRDefault="00767866" w:rsidP="00844541">
      <w:pPr>
        <w:pStyle w:val="ECHRPara"/>
        <w:rPr>
          <w:lang w:val="fr-FR"/>
        </w:rPr>
      </w:pPr>
      <w:r>
        <w:rPr>
          <w:noProof/>
          <w:lang w:val="fr-FR"/>
        </w:rPr>
        <w:lastRenderedPageBreak/>
        <w:t>9</w:t>
      </w:r>
      <w:r w:rsidR="002B5869" w:rsidRPr="00844541">
        <w:fldChar w:fldCharType="end"/>
      </w:r>
      <w:r w:rsidR="00E87EC6" w:rsidRPr="00844541">
        <w:rPr>
          <w:lang w:val="fr-FR"/>
        </w:rPr>
        <w:t xml:space="preserve"> ci-dessus)</w:t>
      </w:r>
      <w:r w:rsidR="00F24707" w:rsidRPr="00844541">
        <w:rPr>
          <w:lang w:val="fr-FR"/>
        </w:rPr>
        <w:t>.</w:t>
      </w:r>
      <w:r w:rsidR="00E91C22" w:rsidRPr="00844541">
        <w:rPr>
          <w:lang w:val="fr-FR"/>
        </w:rPr>
        <w:t xml:space="preserve"> </w:t>
      </w:r>
      <w:r w:rsidR="007C52DC" w:rsidRPr="00844541">
        <w:rPr>
          <w:lang w:val="fr-FR"/>
        </w:rPr>
        <w:t>Dans ce con</w:t>
      </w:r>
      <w:r w:rsidR="002E6DAE" w:rsidRPr="00844541">
        <w:rPr>
          <w:lang w:val="fr-FR"/>
        </w:rPr>
        <w:t>texte</w:t>
      </w:r>
      <w:r w:rsidR="007C52DC" w:rsidRPr="00844541">
        <w:rPr>
          <w:lang w:val="fr-FR"/>
        </w:rPr>
        <w:t>,</w:t>
      </w:r>
      <w:r w:rsidR="002E6DAE" w:rsidRPr="00844541">
        <w:rPr>
          <w:lang w:val="fr-FR"/>
        </w:rPr>
        <w:t xml:space="preserve"> </w:t>
      </w:r>
      <w:r w:rsidR="00E91C22" w:rsidRPr="00844541">
        <w:rPr>
          <w:lang w:val="fr-FR"/>
        </w:rPr>
        <w:t xml:space="preserve">en prévoyant comme critère pour décider de la situation juridique du bien litigieux « la volonté des fidèles des communautés détentrices des biens », </w:t>
      </w:r>
      <w:r w:rsidR="002E6DAE" w:rsidRPr="00844541">
        <w:rPr>
          <w:lang w:val="fr-FR"/>
        </w:rPr>
        <w:t>l</w:t>
      </w:r>
      <w:r w:rsidR="00844541">
        <w:rPr>
          <w:lang w:val="fr-FR"/>
        </w:rPr>
        <w:t>’</w:t>
      </w:r>
      <w:r w:rsidR="002E6DAE" w:rsidRPr="00844541">
        <w:rPr>
          <w:lang w:val="fr-FR"/>
        </w:rPr>
        <w:t>article 3 du décret-loi n</w:t>
      </w:r>
      <w:r w:rsidR="002E6DAE" w:rsidRPr="00844541">
        <w:rPr>
          <w:vertAlign w:val="superscript"/>
          <w:lang w:val="fr-FR"/>
        </w:rPr>
        <w:t>o</w:t>
      </w:r>
      <w:r w:rsidR="004437E0" w:rsidRPr="00844541">
        <w:rPr>
          <w:lang w:val="fr-FR"/>
        </w:rPr>
        <w:t> </w:t>
      </w:r>
      <w:r w:rsidR="002E6DAE" w:rsidRPr="00844541">
        <w:rPr>
          <w:lang w:val="fr-FR"/>
        </w:rPr>
        <w:t>126/1990 pourrait être interprété comme créant une position privilégié</w:t>
      </w:r>
      <w:r w:rsidR="00101B5A" w:rsidRPr="00844541">
        <w:rPr>
          <w:lang w:val="fr-FR"/>
        </w:rPr>
        <w:t>e</w:t>
      </w:r>
      <w:r w:rsidR="002E6DAE" w:rsidRPr="00844541">
        <w:rPr>
          <w:lang w:val="fr-FR"/>
        </w:rPr>
        <w:t xml:space="preserve"> pour la partie défenderesse au détriment des requérants.</w:t>
      </w:r>
      <w:r w:rsidR="008731A5" w:rsidRPr="00844541">
        <w:rPr>
          <w:lang w:val="fr-FR"/>
        </w:rPr>
        <w:t xml:space="preserve"> La Cour a considéré l</w:t>
      </w:r>
      <w:r w:rsidR="00844541">
        <w:rPr>
          <w:lang w:val="fr-FR"/>
        </w:rPr>
        <w:t>’</w:t>
      </w:r>
      <w:r w:rsidR="008731A5" w:rsidRPr="00844541">
        <w:rPr>
          <w:lang w:val="fr-FR"/>
        </w:rPr>
        <w:t>article 3 susmentionné dans le contexte de l</w:t>
      </w:r>
      <w:r w:rsidR="00844541">
        <w:rPr>
          <w:lang w:val="fr-FR"/>
        </w:rPr>
        <w:t>’</w:t>
      </w:r>
      <w:r w:rsidR="008731A5" w:rsidRPr="00844541">
        <w:rPr>
          <w:lang w:val="fr-FR"/>
        </w:rPr>
        <w:t>article 6 de la Convention (paragraphe</w:t>
      </w:r>
      <w:r w:rsidR="004C72D8" w:rsidRPr="00844541">
        <w:rPr>
          <w:lang w:val="fr-FR"/>
        </w:rPr>
        <w:t> </w:t>
      </w:r>
      <w:r w:rsidR="008731A5" w:rsidRPr="00844541">
        <w:rPr>
          <w:lang w:val="fr-FR"/>
        </w:rPr>
        <w:t>81 ci-dessus et suiv</w:t>
      </w:r>
      <w:r w:rsidR="00CC32AE" w:rsidRPr="00844541">
        <w:rPr>
          <w:lang w:val="fr-FR"/>
        </w:rPr>
        <w:t>ants</w:t>
      </w:r>
      <w:r w:rsidR="008731A5" w:rsidRPr="00844541">
        <w:rPr>
          <w:lang w:val="fr-FR"/>
        </w:rPr>
        <w:t>)</w:t>
      </w:r>
      <w:r w:rsidR="00B13A1A" w:rsidRPr="00844541">
        <w:rPr>
          <w:lang w:val="fr-FR"/>
        </w:rPr>
        <w:t>.</w:t>
      </w:r>
      <w:r w:rsidR="00872EE2" w:rsidRPr="00844541">
        <w:rPr>
          <w:lang w:val="fr-FR"/>
        </w:rPr>
        <w:t xml:space="preserve"> Dès lors, il existe une différence de traitement entre deux groupes – l</w:t>
      </w:r>
      <w:r w:rsidR="00844541">
        <w:rPr>
          <w:lang w:val="fr-FR"/>
        </w:rPr>
        <w:t>’</w:t>
      </w:r>
      <w:r w:rsidR="00872EE2" w:rsidRPr="00844541">
        <w:rPr>
          <w:lang w:val="fr-FR"/>
        </w:rPr>
        <w:t>Église gréco-catholique et l</w:t>
      </w:r>
      <w:r w:rsidR="00844541">
        <w:rPr>
          <w:lang w:val="fr-FR"/>
        </w:rPr>
        <w:t>’</w:t>
      </w:r>
      <w:r w:rsidR="00872EE2" w:rsidRPr="00844541">
        <w:rPr>
          <w:lang w:val="fr-FR"/>
        </w:rPr>
        <w:t>Église orthodoxe - qui, en ce qui concerne leurs prétentions de propriétaire sur le lieu de culte disputé, se trouve dans une situation similaire.</w:t>
      </w:r>
    </w:p>
    <w:p w:rsidR="00886D1C" w:rsidRPr="00844541" w:rsidRDefault="00886D1C" w:rsidP="00844541">
      <w:pPr>
        <w:pStyle w:val="ECHRHeading5"/>
      </w:pPr>
      <w:r w:rsidRPr="00844541">
        <w:t>ii.</w:t>
      </w:r>
      <w:r w:rsidR="004C72D8" w:rsidRPr="00844541">
        <w:t>  </w:t>
      </w:r>
      <w:r w:rsidRPr="00844541">
        <w:t>Sur le point de savoir s</w:t>
      </w:r>
      <w:r w:rsidR="00844541">
        <w:t>’</w:t>
      </w:r>
      <w:r w:rsidRPr="00844541">
        <w:t>il existe une justification objective et raisonnable</w:t>
      </w:r>
    </w:p>
    <w:p w:rsidR="006C08E4" w:rsidRPr="00844541" w:rsidRDefault="00F54301"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116</w:t>
      </w:r>
      <w:r w:rsidRPr="00844541">
        <w:rPr>
          <w:noProof/>
        </w:rPr>
        <w:fldChar w:fldCharType="end"/>
      </w:r>
      <w:r w:rsidR="00723E95" w:rsidRPr="00844541">
        <w:rPr>
          <w:lang w:val="fr-FR"/>
        </w:rPr>
        <w:t>.  </w:t>
      </w:r>
      <w:r w:rsidR="006C08E4" w:rsidRPr="00844541">
        <w:rPr>
          <w:lang w:val="fr-FR"/>
        </w:rPr>
        <w:t>La Cour rappelle que si une politique ou une mesure générale a des effets préjudiciables disproportionnés sur un groupe de personnes, la possibilité qu</w:t>
      </w:r>
      <w:r w:rsidR="00844541">
        <w:rPr>
          <w:lang w:val="fr-FR"/>
        </w:rPr>
        <w:t>’</w:t>
      </w:r>
      <w:r w:rsidR="006C08E4" w:rsidRPr="00844541">
        <w:rPr>
          <w:lang w:val="fr-FR"/>
        </w:rPr>
        <w:t>elle soit considérée comme discriminatoire ne peut être exclue même si elle ne vise pas spécifiquement ce groupe (</w:t>
      </w:r>
      <w:r w:rsidR="006C08E4" w:rsidRPr="00844541">
        <w:rPr>
          <w:i/>
          <w:lang w:val="fr-FR"/>
        </w:rPr>
        <w:t>Zarb Adami</w:t>
      </w:r>
      <w:r w:rsidR="006C08E4" w:rsidRPr="00844541">
        <w:rPr>
          <w:lang w:val="fr-FR"/>
        </w:rPr>
        <w:t xml:space="preserve"> précité, §</w:t>
      </w:r>
      <w:r w:rsidR="00241139" w:rsidRPr="00844541">
        <w:rPr>
          <w:lang w:val="fr-FR"/>
        </w:rPr>
        <w:t> </w:t>
      </w:r>
      <w:r w:rsidR="006C08E4" w:rsidRPr="00844541">
        <w:rPr>
          <w:lang w:val="fr-FR"/>
        </w:rPr>
        <w:t>80).</w:t>
      </w:r>
      <w:r w:rsidR="00BC0A86" w:rsidRPr="00844541">
        <w:rPr>
          <w:lang w:val="fr-FR"/>
        </w:rPr>
        <w:t xml:space="preserve"> Par ailleurs,</w:t>
      </w:r>
      <w:r w:rsidR="00241139" w:rsidRPr="00844541">
        <w:rPr>
          <w:lang w:val="fr-FR"/>
        </w:rPr>
        <w:t xml:space="preserve"> elle réitère que</w:t>
      </w:r>
      <w:r w:rsidR="00BC0A86" w:rsidRPr="00844541">
        <w:rPr>
          <w:lang w:val="fr-FR"/>
        </w:rPr>
        <w:t xml:space="preserve"> les États contractants jouissent d</w:t>
      </w:r>
      <w:r w:rsidR="00844541">
        <w:rPr>
          <w:lang w:val="fr-FR"/>
        </w:rPr>
        <w:t>’</w:t>
      </w:r>
      <w:r w:rsidR="00BC0A86" w:rsidRPr="00844541">
        <w:rPr>
          <w:lang w:val="fr-FR"/>
        </w:rPr>
        <w:t>une certaine marge d</w:t>
      </w:r>
      <w:r w:rsidR="00844541">
        <w:rPr>
          <w:lang w:val="fr-FR"/>
        </w:rPr>
        <w:t>’</w:t>
      </w:r>
      <w:r w:rsidR="00BC0A86" w:rsidRPr="00844541">
        <w:rPr>
          <w:lang w:val="fr-FR"/>
        </w:rPr>
        <w:t>appréciation pour déterminer si et dans quelle mesure des différences entre des situations à d</w:t>
      </w:r>
      <w:r w:rsidR="00844541">
        <w:rPr>
          <w:lang w:val="fr-FR"/>
        </w:rPr>
        <w:t>’</w:t>
      </w:r>
      <w:r w:rsidR="00BC0A86" w:rsidRPr="00844541">
        <w:rPr>
          <w:lang w:val="fr-FR"/>
        </w:rPr>
        <w:t>autres égards analogues justifient des distinctions de traitement (</w:t>
      </w:r>
      <w:r w:rsidR="00BC0A86" w:rsidRPr="00844541">
        <w:rPr>
          <w:i/>
          <w:lang w:val="fr-FR"/>
        </w:rPr>
        <w:t>Stec et autres</w:t>
      </w:r>
      <w:r w:rsidR="00E87EC6" w:rsidRPr="00844541">
        <w:rPr>
          <w:lang w:val="fr-FR"/>
        </w:rPr>
        <w:t xml:space="preserve"> précité</w:t>
      </w:r>
      <w:r w:rsidR="00BC0A86" w:rsidRPr="00844541">
        <w:rPr>
          <w:lang w:val="fr-FR"/>
        </w:rPr>
        <w:t>, § 51). Une ample latitude est d</w:t>
      </w:r>
      <w:r w:rsidR="00844541">
        <w:rPr>
          <w:lang w:val="fr-FR"/>
        </w:rPr>
        <w:t>’</w:t>
      </w:r>
      <w:r w:rsidR="00BC0A86" w:rsidRPr="00844541">
        <w:rPr>
          <w:lang w:val="fr-FR"/>
        </w:rPr>
        <w:t>ordinaire laissée à l</w:t>
      </w:r>
      <w:r w:rsidR="00844541">
        <w:rPr>
          <w:lang w:val="fr-FR"/>
        </w:rPr>
        <w:t>’</w:t>
      </w:r>
      <w:r w:rsidR="00BC0A86" w:rsidRPr="00844541">
        <w:rPr>
          <w:lang w:val="fr-FR"/>
        </w:rPr>
        <w:t>État pour prendre des mesures d</w:t>
      </w:r>
      <w:r w:rsidR="00844541">
        <w:rPr>
          <w:lang w:val="fr-FR"/>
        </w:rPr>
        <w:t>’</w:t>
      </w:r>
      <w:r w:rsidR="00BC0A86" w:rsidRPr="00844541">
        <w:rPr>
          <w:lang w:val="fr-FR"/>
        </w:rPr>
        <w:t>ordre général en matière économique ou sociale. Grâce à une connaissance directe de leur société et de ses besoins, les autorités nationales se trouvent en principe mieux placées que le juge international pour déterminer ce qui est d</w:t>
      </w:r>
      <w:r w:rsidR="00844541">
        <w:rPr>
          <w:lang w:val="fr-FR"/>
        </w:rPr>
        <w:t>’</w:t>
      </w:r>
      <w:r w:rsidR="00BC0A86" w:rsidRPr="00844541">
        <w:rPr>
          <w:lang w:val="fr-FR"/>
        </w:rPr>
        <w:t>utilité publique en matière économique ou en matière sociale, et la Cour respecte en principe la manière dont l</w:t>
      </w:r>
      <w:r w:rsidR="00844541">
        <w:rPr>
          <w:lang w:val="fr-FR"/>
        </w:rPr>
        <w:t>’</w:t>
      </w:r>
      <w:r w:rsidR="00BC0A86" w:rsidRPr="00844541">
        <w:rPr>
          <w:lang w:val="fr-FR"/>
        </w:rPr>
        <w:t>État conçoit les impératifs de l</w:t>
      </w:r>
      <w:r w:rsidR="00844541">
        <w:rPr>
          <w:lang w:val="fr-FR"/>
        </w:rPr>
        <w:t>’</w:t>
      </w:r>
      <w:r w:rsidR="00BC0A86" w:rsidRPr="00844541">
        <w:rPr>
          <w:lang w:val="fr-FR"/>
        </w:rPr>
        <w:t>utilité publique, sauf si son jugement se révèle « manifestement dépourvu de base raisonnable » (</w:t>
      </w:r>
      <w:r w:rsidR="00BC0A86" w:rsidRPr="00844541">
        <w:rPr>
          <w:i/>
          <w:lang w:val="fr-FR"/>
        </w:rPr>
        <w:t>Stec et autres</w:t>
      </w:r>
      <w:r w:rsidR="00BC0A86" w:rsidRPr="00844541">
        <w:rPr>
          <w:lang w:val="fr-FR"/>
        </w:rPr>
        <w:t>, précité, § 52).</w:t>
      </w:r>
    </w:p>
    <w:p w:rsidR="00B43D08" w:rsidRPr="00844541" w:rsidRDefault="004C1AE4"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117</w:t>
      </w:r>
      <w:r w:rsidRPr="00844541">
        <w:rPr>
          <w:noProof/>
        </w:rPr>
        <w:fldChar w:fldCharType="end"/>
      </w:r>
      <w:r w:rsidR="008240D3" w:rsidRPr="00844541">
        <w:rPr>
          <w:lang w:val="fr-FR"/>
        </w:rPr>
        <w:t>.  </w:t>
      </w:r>
      <w:r w:rsidR="00DF53CE" w:rsidRPr="00844541">
        <w:rPr>
          <w:lang w:val="fr-FR"/>
        </w:rPr>
        <w:t>L</w:t>
      </w:r>
      <w:r w:rsidR="00DC08CC" w:rsidRPr="00844541">
        <w:rPr>
          <w:lang w:val="fr-FR"/>
        </w:rPr>
        <w:t xml:space="preserve">a Cour constate que le Gouvernement </w:t>
      </w:r>
      <w:r w:rsidR="00DF53CE" w:rsidRPr="00844541">
        <w:rPr>
          <w:lang w:val="fr-FR"/>
        </w:rPr>
        <w:t>soutient que le critère litigieux avait été élaboré afin de tenir compte d</w:t>
      </w:r>
      <w:r w:rsidR="00241139" w:rsidRPr="00844541">
        <w:rPr>
          <w:lang w:val="fr-FR"/>
        </w:rPr>
        <w:t>e l</w:t>
      </w:r>
      <w:r w:rsidR="00844541">
        <w:rPr>
          <w:lang w:val="fr-FR"/>
        </w:rPr>
        <w:t>’</w:t>
      </w:r>
      <w:r w:rsidR="00DF53CE" w:rsidRPr="00844541">
        <w:rPr>
          <w:lang w:val="fr-FR"/>
        </w:rPr>
        <w:t>histo</w:t>
      </w:r>
      <w:r w:rsidR="00241139" w:rsidRPr="00844541">
        <w:rPr>
          <w:lang w:val="fr-FR"/>
        </w:rPr>
        <w:t>ire</w:t>
      </w:r>
      <w:r w:rsidR="00DF53CE" w:rsidRPr="00844541">
        <w:rPr>
          <w:lang w:val="fr-FR"/>
        </w:rPr>
        <w:t xml:space="preserve"> de l</w:t>
      </w:r>
      <w:r w:rsidR="00844541">
        <w:rPr>
          <w:lang w:val="fr-FR"/>
        </w:rPr>
        <w:t>’</w:t>
      </w:r>
      <w:r w:rsidR="00DF53CE" w:rsidRPr="00844541">
        <w:rPr>
          <w:lang w:val="fr-FR"/>
        </w:rPr>
        <w:t>affaire et de la nature religieuse du bien en cause.</w:t>
      </w:r>
      <w:r w:rsidR="002222A7" w:rsidRPr="00844541">
        <w:rPr>
          <w:lang w:val="fr-FR"/>
        </w:rPr>
        <w:t xml:space="preserve"> </w:t>
      </w:r>
      <w:r w:rsidR="00A04C29" w:rsidRPr="00844541">
        <w:rPr>
          <w:lang w:val="fr-FR"/>
        </w:rPr>
        <w:t xml:space="preserve">Il ressort des dires du Gouvernement que par cette législation </w:t>
      </w:r>
      <w:r w:rsidR="00241139" w:rsidRPr="00844541">
        <w:rPr>
          <w:lang w:val="fr-FR"/>
        </w:rPr>
        <w:t>l</w:t>
      </w:r>
      <w:r w:rsidR="00844541">
        <w:rPr>
          <w:lang w:val="fr-FR"/>
        </w:rPr>
        <w:t>’</w:t>
      </w:r>
      <w:r w:rsidR="00241139" w:rsidRPr="00844541">
        <w:rPr>
          <w:lang w:val="fr-FR"/>
        </w:rPr>
        <w:t>État</w:t>
      </w:r>
      <w:r w:rsidR="00A04C29" w:rsidRPr="00844541">
        <w:rPr>
          <w:lang w:val="fr-FR"/>
        </w:rPr>
        <w:t xml:space="preserve"> visait à protéger la liberté de ceux qui avai</w:t>
      </w:r>
      <w:r w:rsidR="00630524" w:rsidRPr="00844541">
        <w:rPr>
          <w:lang w:val="fr-FR"/>
        </w:rPr>
        <w:t>en</w:t>
      </w:r>
      <w:r w:rsidR="00A04C29" w:rsidRPr="00844541">
        <w:rPr>
          <w:lang w:val="fr-FR"/>
        </w:rPr>
        <w:t>t été forcés pendant le régime totalitaire à quitter la religion gréco-catholique de manifester leur volonté quant à la religion à suivre, tout en gardant la possibilité d</w:t>
      </w:r>
      <w:r w:rsidR="00844541">
        <w:rPr>
          <w:lang w:val="fr-FR"/>
        </w:rPr>
        <w:t>’</w:t>
      </w:r>
      <w:r w:rsidR="00A04C29" w:rsidRPr="00844541">
        <w:rPr>
          <w:lang w:val="fr-FR"/>
        </w:rPr>
        <w:t>utiliser le lieu de culte qu</w:t>
      </w:r>
      <w:r w:rsidR="00844541">
        <w:rPr>
          <w:lang w:val="fr-FR"/>
        </w:rPr>
        <w:t>’</w:t>
      </w:r>
      <w:r w:rsidR="00A04C29" w:rsidRPr="00844541">
        <w:rPr>
          <w:lang w:val="fr-FR"/>
        </w:rPr>
        <w:t>ils avaient construit.</w:t>
      </w:r>
      <w:bookmarkStart w:id="24" w:name="P118"/>
    </w:p>
    <w:p w:rsidR="00693329" w:rsidRPr="00844541" w:rsidRDefault="008240D3"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118</w:t>
      </w:r>
      <w:r w:rsidRPr="00844541">
        <w:fldChar w:fldCharType="end"/>
      </w:r>
      <w:bookmarkEnd w:id="24"/>
      <w:r w:rsidRPr="00844541">
        <w:rPr>
          <w:lang w:val="fr-FR"/>
        </w:rPr>
        <w:t>.  </w:t>
      </w:r>
      <w:r w:rsidR="00317A42" w:rsidRPr="00844541">
        <w:rPr>
          <w:lang w:val="fr-FR"/>
        </w:rPr>
        <w:t xml:space="preserve">La Cour accorde </w:t>
      </w:r>
      <w:r w:rsidR="007C4FA2" w:rsidRPr="00844541">
        <w:rPr>
          <w:lang w:val="fr-FR"/>
        </w:rPr>
        <w:t xml:space="preserve">ensuite </w:t>
      </w:r>
      <w:r w:rsidR="00317A42" w:rsidRPr="00844541">
        <w:rPr>
          <w:lang w:val="fr-FR"/>
        </w:rPr>
        <w:t>de l</w:t>
      </w:r>
      <w:r w:rsidR="00844541">
        <w:rPr>
          <w:lang w:val="fr-FR"/>
        </w:rPr>
        <w:t>’</w:t>
      </w:r>
      <w:r w:rsidR="00317A42" w:rsidRPr="00844541">
        <w:rPr>
          <w:lang w:val="fr-FR"/>
        </w:rPr>
        <w:t>importance au fait que, en faisant application du critère de « la volonté des fidèles des communautés détentrices des biens » les juridictions roumaines ne se sont pas limitées à constater le refus de la partie défenderesse de restituer l</w:t>
      </w:r>
      <w:r w:rsidR="00844541">
        <w:rPr>
          <w:lang w:val="fr-FR"/>
        </w:rPr>
        <w:t>’</w:t>
      </w:r>
      <w:r w:rsidR="00317A42" w:rsidRPr="00844541">
        <w:rPr>
          <w:lang w:val="fr-FR"/>
        </w:rPr>
        <w:t>église</w:t>
      </w:r>
      <w:r w:rsidR="007C4FA2" w:rsidRPr="00844541">
        <w:rPr>
          <w:lang w:val="fr-FR"/>
        </w:rPr>
        <w:t xml:space="preserve"> mais ont effectué une mise en balance des intérêts en cause</w:t>
      </w:r>
      <w:r w:rsidR="00317A42" w:rsidRPr="00844541">
        <w:rPr>
          <w:lang w:val="fr-FR"/>
        </w:rPr>
        <w:t xml:space="preserve">. Elles ont, </w:t>
      </w:r>
      <w:r w:rsidR="007C4FA2" w:rsidRPr="00844541">
        <w:rPr>
          <w:lang w:val="fr-FR"/>
        </w:rPr>
        <w:t>ainsi</w:t>
      </w:r>
      <w:r w:rsidR="00317A42" w:rsidRPr="00844541">
        <w:rPr>
          <w:lang w:val="fr-FR"/>
        </w:rPr>
        <w:t>, pris en compte un ensemble d</w:t>
      </w:r>
      <w:r w:rsidR="00844541">
        <w:rPr>
          <w:lang w:val="fr-FR"/>
        </w:rPr>
        <w:t>’</w:t>
      </w:r>
      <w:r w:rsidR="00317A42" w:rsidRPr="00844541">
        <w:rPr>
          <w:lang w:val="fr-FR"/>
        </w:rPr>
        <w:t>éléments factuels concrets relatifs aux circonstances dans lesquelles l</w:t>
      </w:r>
      <w:r w:rsidR="00844541">
        <w:rPr>
          <w:lang w:val="fr-FR"/>
        </w:rPr>
        <w:t>’</w:t>
      </w:r>
      <w:r w:rsidR="00317A42" w:rsidRPr="00844541">
        <w:rPr>
          <w:lang w:val="fr-FR"/>
        </w:rPr>
        <w:t>édifice a été construit et utilisé au fil des années, à l</w:t>
      </w:r>
      <w:r w:rsidR="00844541">
        <w:rPr>
          <w:lang w:val="fr-FR"/>
        </w:rPr>
        <w:t>’</w:t>
      </w:r>
      <w:r w:rsidR="00317A42" w:rsidRPr="00844541">
        <w:rPr>
          <w:lang w:val="fr-FR"/>
        </w:rPr>
        <w:t>interdiction du culte gréco-catholique et à l</w:t>
      </w:r>
      <w:r w:rsidR="00844541">
        <w:rPr>
          <w:lang w:val="fr-FR"/>
        </w:rPr>
        <w:t>’</w:t>
      </w:r>
      <w:r w:rsidR="00317A42" w:rsidRPr="00844541">
        <w:rPr>
          <w:lang w:val="fr-FR"/>
        </w:rPr>
        <w:t>obligation imposée à l</w:t>
      </w:r>
      <w:r w:rsidR="00844541">
        <w:rPr>
          <w:lang w:val="fr-FR"/>
        </w:rPr>
        <w:t>’</w:t>
      </w:r>
      <w:r w:rsidR="00317A42" w:rsidRPr="00844541">
        <w:rPr>
          <w:lang w:val="fr-FR"/>
        </w:rPr>
        <w:t xml:space="preserve">époque à ses fidèles de « passer » au culte orthodoxe, et au choix opéré par ces </w:t>
      </w:r>
      <w:r w:rsidR="00317A42" w:rsidRPr="00844541">
        <w:rPr>
          <w:lang w:val="fr-FR"/>
        </w:rPr>
        <w:lastRenderedPageBreak/>
        <w:t>fidèles après la réhabilitation de leur culte. Après un examen approfondi de la situation de fait, les juridictions internes ont rendu des arrêts détaillés et motivés, dont le raisonnement s</w:t>
      </w:r>
      <w:r w:rsidR="00844541">
        <w:rPr>
          <w:lang w:val="fr-FR"/>
        </w:rPr>
        <w:t>’</w:t>
      </w:r>
      <w:r w:rsidR="00317A42" w:rsidRPr="00844541">
        <w:rPr>
          <w:lang w:val="fr-FR"/>
        </w:rPr>
        <w:t>inscrivait dans la ligne constante de la jurisprudence de la Cour constitutionnelle</w:t>
      </w:r>
      <w:r w:rsidR="002472C4" w:rsidRPr="00844541">
        <w:rPr>
          <w:lang w:val="fr-FR"/>
        </w:rPr>
        <w:t xml:space="preserve"> (paragraphes</w:t>
      </w:r>
      <w:r w:rsidR="00B71EA8" w:rsidRPr="00844541">
        <w:rPr>
          <w:lang w:val="fr-FR"/>
        </w:rPr>
        <w:t xml:space="preserve"> de 29 à 31 et 34 </w:t>
      </w:r>
      <w:r w:rsidR="002472C4" w:rsidRPr="00844541">
        <w:rPr>
          <w:lang w:val="fr-FR"/>
        </w:rPr>
        <w:t>ci</w:t>
      </w:r>
      <w:r w:rsidR="00615013" w:rsidRPr="00844541">
        <w:rPr>
          <w:lang w:val="fr-FR"/>
        </w:rPr>
        <w:noBreakHyphen/>
      </w:r>
      <w:r w:rsidR="002472C4" w:rsidRPr="00844541">
        <w:rPr>
          <w:lang w:val="fr-FR"/>
        </w:rPr>
        <w:t>dessus)</w:t>
      </w:r>
      <w:r w:rsidR="00317A42" w:rsidRPr="00844541">
        <w:rPr>
          <w:lang w:val="fr-FR"/>
        </w:rPr>
        <w:t>.</w:t>
      </w:r>
    </w:p>
    <w:p w:rsidR="00953FF5" w:rsidRPr="00844541" w:rsidRDefault="004C1AE4" w:rsidP="00844541">
      <w:pPr>
        <w:pStyle w:val="ECHRPara"/>
        <w:rPr>
          <w:i/>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119</w:t>
      </w:r>
      <w:r w:rsidRPr="00844541">
        <w:rPr>
          <w:noProof/>
        </w:rPr>
        <w:fldChar w:fldCharType="end"/>
      </w:r>
      <w:r w:rsidR="00C06BD3" w:rsidRPr="00844541">
        <w:rPr>
          <w:lang w:val="fr-FR"/>
        </w:rPr>
        <w:t>.  </w:t>
      </w:r>
      <w:r w:rsidR="00317A42" w:rsidRPr="00844541">
        <w:rPr>
          <w:lang w:val="fr-FR"/>
        </w:rPr>
        <w:t>En outre, la Cour note que, saisie d</w:t>
      </w:r>
      <w:r w:rsidR="00844541">
        <w:rPr>
          <w:lang w:val="fr-FR"/>
        </w:rPr>
        <w:t>’</w:t>
      </w:r>
      <w:r w:rsidR="00317A42" w:rsidRPr="00844541">
        <w:rPr>
          <w:lang w:val="fr-FR"/>
        </w:rPr>
        <w:t>exception de non</w:t>
      </w:r>
      <w:r w:rsidR="00615013" w:rsidRPr="00844541">
        <w:rPr>
          <w:lang w:val="fr-FR"/>
        </w:rPr>
        <w:noBreakHyphen/>
      </w:r>
      <w:r w:rsidR="00317A42" w:rsidRPr="00844541">
        <w:rPr>
          <w:lang w:val="fr-FR"/>
        </w:rPr>
        <w:t xml:space="preserve">constitutionnalité du critère litigieux, la Cour constitutionnelle </w:t>
      </w:r>
      <w:r w:rsidR="008240D3" w:rsidRPr="00844541">
        <w:rPr>
          <w:lang w:val="fr-FR"/>
        </w:rPr>
        <w:t>a présenté les motifs liés à la nécessité de protéger la liberté des cultes et la liberté d</w:t>
      </w:r>
      <w:r w:rsidR="00844541">
        <w:rPr>
          <w:lang w:val="fr-FR"/>
        </w:rPr>
        <w:t>’</w:t>
      </w:r>
      <w:r w:rsidR="008240D3" w:rsidRPr="00844541">
        <w:rPr>
          <w:lang w:val="fr-FR"/>
        </w:rPr>
        <w:t>autrui, tout en les intégrant dans le contexte historique de l</w:t>
      </w:r>
      <w:r w:rsidR="00844541">
        <w:rPr>
          <w:lang w:val="fr-FR"/>
        </w:rPr>
        <w:t>’</w:t>
      </w:r>
      <w:r w:rsidR="008240D3" w:rsidRPr="00844541">
        <w:rPr>
          <w:lang w:val="fr-FR"/>
        </w:rPr>
        <w:t xml:space="preserve">affaire. </w:t>
      </w:r>
      <w:r w:rsidR="00643263" w:rsidRPr="00844541">
        <w:rPr>
          <w:lang w:val="fr-FR"/>
        </w:rPr>
        <w:t>À</w:t>
      </w:r>
      <w:r w:rsidR="00693329" w:rsidRPr="00844541">
        <w:rPr>
          <w:lang w:val="fr-FR"/>
        </w:rPr>
        <w:t xml:space="preserve"> cet égard, l</w:t>
      </w:r>
      <w:r w:rsidR="00953FF5" w:rsidRPr="00844541">
        <w:rPr>
          <w:lang w:val="fr-FR"/>
        </w:rPr>
        <w:t>a Cour rappelle qu</w:t>
      </w:r>
      <w:r w:rsidR="00844541">
        <w:rPr>
          <w:lang w:val="fr-FR"/>
        </w:rPr>
        <w:t>’</w:t>
      </w:r>
      <w:r w:rsidR="00953FF5" w:rsidRPr="00844541">
        <w:rPr>
          <w:lang w:val="fr-FR"/>
        </w:rPr>
        <w:t>elle a eu à maintes reprises l</w:t>
      </w:r>
      <w:r w:rsidR="00844541">
        <w:rPr>
          <w:lang w:val="fr-FR"/>
        </w:rPr>
        <w:t>’</w:t>
      </w:r>
      <w:r w:rsidR="00953FF5" w:rsidRPr="00844541">
        <w:rPr>
          <w:lang w:val="fr-FR"/>
        </w:rPr>
        <w:t>occasion de souligner le rôle de l</w:t>
      </w:r>
      <w:r w:rsidR="00844541">
        <w:rPr>
          <w:lang w:val="fr-FR"/>
        </w:rPr>
        <w:t>’</w:t>
      </w:r>
      <w:r w:rsidR="008E36EE" w:rsidRPr="00844541">
        <w:rPr>
          <w:lang w:val="fr-FR"/>
        </w:rPr>
        <w:t>État</w:t>
      </w:r>
      <w:r w:rsidR="00953FF5" w:rsidRPr="00844541">
        <w:rPr>
          <w:lang w:val="fr-FR"/>
        </w:rPr>
        <w:t xml:space="preserve"> en tant qu</w:t>
      </w:r>
      <w:r w:rsidR="00844541">
        <w:rPr>
          <w:lang w:val="fr-FR"/>
        </w:rPr>
        <w:t>’</w:t>
      </w:r>
      <w:r w:rsidR="00953FF5" w:rsidRPr="00844541">
        <w:rPr>
          <w:lang w:val="fr-FR"/>
        </w:rPr>
        <w:t>organisateur neutre et impartial de la pratique des religions, cultes et croyances, et d</w:t>
      </w:r>
      <w:r w:rsidR="00844541">
        <w:rPr>
          <w:lang w:val="fr-FR"/>
        </w:rPr>
        <w:t>’</w:t>
      </w:r>
      <w:r w:rsidR="00953FF5" w:rsidRPr="00844541">
        <w:rPr>
          <w:lang w:val="fr-FR"/>
        </w:rPr>
        <w:t>indiquer que ce rôle contribuait à assurer l</w:t>
      </w:r>
      <w:r w:rsidR="00844541">
        <w:rPr>
          <w:lang w:val="fr-FR"/>
        </w:rPr>
        <w:t>’</w:t>
      </w:r>
      <w:r w:rsidR="00953FF5" w:rsidRPr="00844541">
        <w:rPr>
          <w:lang w:val="fr-FR"/>
        </w:rPr>
        <w:t xml:space="preserve">ordre public, la paix religieuse et la tolérance dans une société démocratique, particulièrement entre des groupes opposés (voir, </w:t>
      </w:r>
      <w:r w:rsidR="00953FF5" w:rsidRPr="00844541">
        <w:rPr>
          <w:i/>
          <w:lang w:val="fr-FR"/>
        </w:rPr>
        <w:t>mutatis mutandis</w:t>
      </w:r>
      <w:r w:rsidR="00953FF5" w:rsidRPr="00844541">
        <w:rPr>
          <w:lang w:val="fr-FR"/>
        </w:rPr>
        <w:t xml:space="preserve">, </w:t>
      </w:r>
      <w:r w:rsidR="00953FF5" w:rsidRPr="00844541">
        <w:rPr>
          <w:i/>
          <w:snapToGrid w:val="0"/>
          <w:lang w:val="fr-FR"/>
        </w:rPr>
        <w:t xml:space="preserve">Sindicatul </w:t>
      </w:r>
      <w:r w:rsidR="00953FF5" w:rsidRPr="00844541">
        <w:rPr>
          <w:i/>
          <w:lang w:val="fr-FR"/>
        </w:rPr>
        <w:t>« </w:t>
      </w:r>
      <w:r w:rsidR="00953FF5" w:rsidRPr="00844541">
        <w:rPr>
          <w:i/>
          <w:snapToGrid w:val="0"/>
          <w:lang w:val="fr-FR"/>
        </w:rPr>
        <w:t>Păstorul cel Bun »</w:t>
      </w:r>
      <w:r w:rsidR="00953FF5" w:rsidRPr="00844541">
        <w:rPr>
          <w:i/>
          <w:lang w:val="fr-FR"/>
        </w:rPr>
        <w:t xml:space="preserve"> </w:t>
      </w:r>
      <w:r w:rsidR="00953FF5" w:rsidRPr="00844541">
        <w:rPr>
          <w:i/>
          <w:snapToGrid w:val="0"/>
          <w:lang w:val="fr-FR"/>
        </w:rPr>
        <w:t xml:space="preserve">c. Roumanie </w:t>
      </w:r>
      <w:r w:rsidR="00953FF5" w:rsidRPr="00844541">
        <w:rPr>
          <w:snapToGrid w:val="0"/>
          <w:lang w:val="fr-FR"/>
        </w:rPr>
        <w:t>[GC], n</w:t>
      </w:r>
      <w:r w:rsidR="00953FF5" w:rsidRPr="00844541">
        <w:rPr>
          <w:snapToGrid w:val="0"/>
          <w:vertAlign w:val="superscript"/>
          <w:lang w:val="fr-FR"/>
        </w:rPr>
        <w:t>o</w:t>
      </w:r>
      <w:r w:rsidR="00241139" w:rsidRPr="00844541">
        <w:rPr>
          <w:snapToGrid w:val="0"/>
          <w:lang w:val="fr-FR"/>
        </w:rPr>
        <w:t> </w:t>
      </w:r>
      <w:r w:rsidR="00953FF5" w:rsidRPr="00844541">
        <w:rPr>
          <w:snapToGrid w:val="0"/>
          <w:lang w:val="fr-FR"/>
        </w:rPr>
        <w:t>2330/09, §</w:t>
      </w:r>
      <w:r w:rsidR="00535B26" w:rsidRPr="00844541">
        <w:rPr>
          <w:snapToGrid w:val="0"/>
          <w:lang w:val="fr-FR"/>
        </w:rPr>
        <w:t> </w:t>
      </w:r>
      <w:r w:rsidR="008E36EE" w:rsidRPr="00844541">
        <w:rPr>
          <w:snapToGrid w:val="0"/>
          <w:lang w:val="fr-FR"/>
        </w:rPr>
        <w:t>165</w:t>
      </w:r>
      <w:r w:rsidR="00953FF5" w:rsidRPr="00844541">
        <w:rPr>
          <w:snapToGrid w:val="0"/>
          <w:lang w:val="fr-FR"/>
        </w:rPr>
        <w:t xml:space="preserve">, </w:t>
      </w:r>
      <w:r w:rsidR="00953FF5" w:rsidRPr="00844541">
        <w:rPr>
          <w:lang w:val="fr-FR"/>
        </w:rPr>
        <w:t>CEDH 2013 (extraits)).</w:t>
      </w:r>
      <w:r w:rsidR="008E36EE" w:rsidRPr="00844541">
        <w:rPr>
          <w:lang w:val="fr-FR"/>
        </w:rPr>
        <w:t xml:space="preserve"> Le respect de l</w:t>
      </w:r>
      <w:r w:rsidR="00844541">
        <w:rPr>
          <w:lang w:val="fr-FR"/>
        </w:rPr>
        <w:t>’</w:t>
      </w:r>
      <w:r w:rsidR="008E36EE" w:rsidRPr="00844541">
        <w:rPr>
          <w:lang w:val="fr-FR"/>
        </w:rPr>
        <w:t>autonomie des communautés religieuses reconnues par l</w:t>
      </w:r>
      <w:r w:rsidR="00844541">
        <w:rPr>
          <w:lang w:val="fr-FR"/>
        </w:rPr>
        <w:t>’</w:t>
      </w:r>
      <w:r w:rsidR="008E36EE" w:rsidRPr="00844541">
        <w:rPr>
          <w:lang w:val="fr-FR"/>
        </w:rPr>
        <w:t>État s</w:t>
      </w:r>
      <w:r w:rsidR="00844541">
        <w:rPr>
          <w:lang w:val="fr-FR"/>
        </w:rPr>
        <w:t>’</w:t>
      </w:r>
      <w:r w:rsidR="008E36EE" w:rsidRPr="00844541">
        <w:rPr>
          <w:lang w:val="fr-FR"/>
        </w:rPr>
        <w:t>était manifesté en l</w:t>
      </w:r>
      <w:r w:rsidR="00844541">
        <w:rPr>
          <w:lang w:val="fr-FR"/>
        </w:rPr>
        <w:t>’</w:t>
      </w:r>
      <w:r w:rsidR="008E36EE" w:rsidRPr="00844541">
        <w:rPr>
          <w:lang w:val="fr-FR"/>
        </w:rPr>
        <w:t>espèce par l</w:t>
      </w:r>
      <w:r w:rsidR="00844541">
        <w:rPr>
          <w:lang w:val="fr-FR"/>
        </w:rPr>
        <w:t>’</w:t>
      </w:r>
      <w:r w:rsidR="008E36EE" w:rsidRPr="00844541">
        <w:rPr>
          <w:lang w:val="fr-FR"/>
        </w:rPr>
        <w:t>affirmation de celui-ci du droit pour ces communautés de décider elles-mêmes du droit de propriété sur leurs lieux de culte.</w:t>
      </w:r>
    </w:p>
    <w:p w:rsidR="00005B06"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120</w:t>
      </w:r>
      <w:r w:rsidRPr="00844541">
        <w:rPr>
          <w:noProof/>
        </w:rPr>
        <w:fldChar w:fldCharType="end"/>
      </w:r>
      <w:r w:rsidR="00A21B55" w:rsidRPr="00844541">
        <w:rPr>
          <w:lang w:val="fr-FR"/>
        </w:rPr>
        <w:t>.  L</w:t>
      </w:r>
      <w:r w:rsidR="00DA39D7" w:rsidRPr="00844541">
        <w:rPr>
          <w:lang w:val="fr-FR"/>
        </w:rPr>
        <w:t>a Cour</w:t>
      </w:r>
      <w:r w:rsidR="00A21B55" w:rsidRPr="00844541">
        <w:rPr>
          <w:lang w:val="fr-FR"/>
        </w:rPr>
        <w:t xml:space="preserve"> relève </w:t>
      </w:r>
      <w:r w:rsidR="00242404" w:rsidRPr="00844541">
        <w:rPr>
          <w:lang w:val="fr-FR"/>
        </w:rPr>
        <w:t xml:space="preserve">enfin que les arguments des requérants tirés </w:t>
      </w:r>
      <w:r w:rsidR="003706E0" w:rsidRPr="00844541">
        <w:rPr>
          <w:lang w:val="fr-FR"/>
        </w:rPr>
        <w:t>d</w:t>
      </w:r>
      <w:r w:rsidR="00844541">
        <w:rPr>
          <w:lang w:val="fr-FR"/>
        </w:rPr>
        <w:t>’</w:t>
      </w:r>
      <w:r w:rsidR="003706E0" w:rsidRPr="00844541">
        <w:rPr>
          <w:lang w:val="fr-FR"/>
        </w:rPr>
        <w:t>une</w:t>
      </w:r>
      <w:r w:rsidR="00242404" w:rsidRPr="00844541">
        <w:rPr>
          <w:lang w:val="fr-FR"/>
        </w:rPr>
        <w:t xml:space="preserve"> divergence de jurisprudence </w:t>
      </w:r>
      <w:r w:rsidR="003027F7" w:rsidRPr="00844541">
        <w:rPr>
          <w:lang w:val="fr-FR"/>
        </w:rPr>
        <w:t xml:space="preserve">concernent </w:t>
      </w:r>
      <w:r w:rsidR="00AE3D8E" w:rsidRPr="00844541">
        <w:rPr>
          <w:lang w:val="fr-FR"/>
        </w:rPr>
        <w:t xml:space="preserve">un aspect </w:t>
      </w:r>
      <w:r w:rsidR="003706E0" w:rsidRPr="00844541">
        <w:rPr>
          <w:lang w:val="fr-FR"/>
        </w:rPr>
        <w:t>relatif</w:t>
      </w:r>
      <w:r w:rsidR="00AE3D8E" w:rsidRPr="00844541">
        <w:rPr>
          <w:lang w:val="fr-FR"/>
        </w:rPr>
        <w:t xml:space="preserve"> au respect du principe de la sécurité juridique et qu</w:t>
      </w:r>
      <w:r w:rsidR="00844541">
        <w:rPr>
          <w:lang w:val="fr-FR"/>
        </w:rPr>
        <w:t>’</w:t>
      </w:r>
      <w:r w:rsidR="003706E0" w:rsidRPr="00844541">
        <w:rPr>
          <w:lang w:val="fr-FR"/>
        </w:rPr>
        <w:t>elle les a</w:t>
      </w:r>
      <w:r w:rsidR="00AE3D8E" w:rsidRPr="00844541">
        <w:rPr>
          <w:lang w:val="fr-FR"/>
        </w:rPr>
        <w:t xml:space="preserve"> </w:t>
      </w:r>
      <w:r w:rsidR="00242404" w:rsidRPr="00844541">
        <w:rPr>
          <w:lang w:val="fr-FR"/>
        </w:rPr>
        <w:t>déjà examinés sous l</w:t>
      </w:r>
      <w:r w:rsidR="00844541">
        <w:rPr>
          <w:lang w:val="fr-FR"/>
        </w:rPr>
        <w:t>’</w:t>
      </w:r>
      <w:r w:rsidR="00242404" w:rsidRPr="00844541">
        <w:rPr>
          <w:lang w:val="fr-FR"/>
        </w:rPr>
        <w:t>angle d</w:t>
      </w:r>
      <w:r w:rsidR="00DA39D7" w:rsidRPr="00844541">
        <w:rPr>
          <w:lang w:val="fr-FR"/>
        </w:rPr>
        <w:t>e</w:t>
      </w:r>
      <w:r w:rsidR="00242404" w:rsidRPr="00844541">
        <w:rPr>
          <w:lang w:val="fr-FR"/>
        </w:rPr>
        <w:t xml:space="preserve"> </w:t>
      </w:r>
      <w:r w:rsidR="00DA39D7" w:rsidRPr="00844541">
        <w:rPr>
          <w:lang w:val="fr-FR"/>
        </w:rPr>
        <w:t>l</w:t>
      </w:r>
      <w:r w:rsidR="00844541">
        <w:rPr>
          <w:lang w:val="fr-FR"/>
        </w:rPr>
        <w:t>’</w:t>
      </w:r>
      <w:r w:rsidR="00242404" w:rsidRPr="00844541">
        <w:rPr>
          <w:lang w:val="fr-FR"/>
        </w:rPr>
        <w:t>article 6</w:t>
      </w:r>
      <w:r w:rsidR="00F94479" w:rsidRPr="00844541">
        <w:rPr>
          <w:lang w:val="fr-FR"/>
        </w:rPr>
        <w:t> </w:t>
      </w:r>
      <w:r w:rsidR="00242404" w:rsidRPr="00844541">
        <w:rPr>
          <w:lang w:val="fr-FR"/>
        </w:rPr>
        <w:t>§</w:t>
      </w:r>
      <w:r w:rsidR="005F465F" w:rsidRPr="00844541">
        <w:rPr>
          <w:lang w:val="fr-FR"/>
        </w:rPr>
        <w:t> </w:t>
      </w:r>
      <w:r w:rsidR="00242404" w:rsidRPr="00844541">
        <w:rPr>
          <w:lang w:val="fr-FR"/>
        </w:rPr>
        <w:t>1 de la Convention</w:t>
      </w:r>
      <w:r w:rsidR="00AE3D8E" w:rsidRPr="00844541">
        <w:rPr>
          <w:lang w:val="fr-FR"/>
        </w:rPr>
        <w:t>. Elle estime qu</w:t>
      </w:r>
      <w:r w:rsidR="00844541">
        <w:rPr>
          <w:lang w:val="fr-FR"/>
        </w:rPr>
        <w:t>’</w:t>
      </w:r>
      <w:r w:rsidR="00AE3D8E" w:rsidRPr="00844541">
        <w:rPr>
          <w:lang w:val="fr-FR"/>
        </w:rPr>
        <w:t>un nouvel examen sous l</w:t>
      </w:r>
      <w:r w:rsidR="00844541">
        <w:rPr>
          <w:lang w:val="fr-FR"/>
        </w:rPr>
        <w:t>’</w:t>
      </w:r>
      <w:r w:rsidR="00AE3D8E" w:rsidRPr="00844541">
        <w:rPr>
          <w:lang w:val="fr-FR"/>
        </w:rPr>
        <w:t>angle de l</w:t>
      </w:r>
      <w:r w:rsidR="00844541">
        <w:rPr>
          <w:lang w:val="fr-FR"/>
        </w:rPr>
        <w:t>’</w:t>
      </w:r>
      <w:r w:rsidR="00AE3D8E" w:rsidRPr="00844541">
        <w:rPr>
          <w:lang w:val="fr-FR"/>
        </w:rPr>
        <w:t xml:space="preserve">article </w:t>
      </w:r>
      <w:r w:rsidR="00CC1E76" w:rsidRPr="00844541">
        <w:rPr>
          <w:lang w:val="fr-FR"/>
        </w:rPr>
        <w:t xml:space="preserve">14 </w:t>
      </w:r>
      <w:r w:rsidR="00AE3D8E" w:rsidRPr="00844541">
        <w:rPr>
          <w:lang w:val="fr-FR"/>
        </w:rPr>
        <w:t>combiné avec l</w:t>
      </w:r>
      <w:r w:rsidR="00844541">
        <w:rPr>
          <w:lang w:val="fr-FR"/>
        </w:rPr>
        <w:t>’</w:t>
      </w:r>
      <w:r w:rsidR="00AE3D8E" w:rsidRPr="00844541">
        <w:rPr>
          <w:lang w:val="fr-FR"/>
        </w:rPr>
        <w:t xml:space="preserve">article </w:t>
      </w:r>
      <w:r w:rsidR="00CC1E76" w:rsidRPr="00844541">
        <w:rPr>
          <w:lang w:val="fr-FR"/>
        </w:rPr>
        <w:t>6 § 1</w:t>
      </w:r>
      <w:r w:rsidR="00AE3D8E" w:rsidRPr="00844541">
        <w:rPr>
          <w:lang w:val="fr-FR"/>
        </w:rPr>
        <w:t xml:space="preserve"> de la Convention ne s</w:t>
      </w:r>
      <w:r w:rsidR="00844541">
        <w:rPr>
          <w:lang w:val="fr-FR"/>
        </w:rPr>
        <w:t>’</w:t>
      </w:r>
      <w:r w:rsidR="00AE3D8E" w:rsidRPr="00844541">
        <w:rPr>
          <w:lang w:val="fr-FR"/>
        </w:rPr>
        <w:t>impose pas.</w:t>
      </w:r>
    </w:p>
    <w:p w:rsidR="00B43D08"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121</w:t>
      </w:r>
      <w:r w:rsidRPr="00844541">
        <w:rPr>
          <w:noProof/>
        </w:rPr>
        <w:fldChar w:fldCharType="end"/>
      </w:r>
      <w:r w:rsidR="00723E95" w:rsidRPr="00844541">
        <w:rPr>
          <w:lang w:val="fr-FR"/>
        </w:rPr>
        <w:t>.  </w:t>
      </w:r>
      <w:r w:rsidR="00911687" w:rsidRPr="00844541">
        <w:rPr>
          <w:lang w:val="fr-FR"/>
        </w:rPr>
        <w:t>Dès lors, la Cour estime que, compte tenu de l</w:t>
      </w:r>
      <w:r w:rsidR="00844541">
        <w:rPr>
          <w:lang w:val="fr-FR"/>
        </w:rPr>
        <w:t>’</w:t>
      </w:r>
      <w:r w:rsidR="00911687" w:rsidRPr="00844541">
        <w:rPr>
          <w:lang w:val="fr-FR"/>
        </w:rPr>
        <w:t>objectif poursuivi et de ses justifications raisonnables, l</w:t>
      </w:r>
      <w:r w:rsidR="00844541">
        <w:rPr>
          <w:lang w:val="fr-FR"/>
        </w:rPr>
        <w:t>’</w:t>
      </w:r>
      <w:r w:rsidR="00CE3DA7" w:rsidRPr="00844541">
        <w:rPr>
          <w:lang w:val="fr-FR"/>
        </w:rPr>
        <w:t>adoption</w:t>
      </w:r>
      <w:r w:rsidR="00442678" w:rsidRPr="00844541">
        <w:rPr>
          <w:lang w:val="fr-FR"/>
        </w:rPr>
        <w:t xml:space="preserve"> par le législateur national</w:t>
      </w:r>
      <w:r w:rsidR="00911687" w:rsidRPr="00844541">
        <w:rPr>
          <w:lang w:val="fr-FR"/>
        </w:rPr>
        <w:t xml:space="preserve"> du critère litigieux n</w:t>
      </w:r>
      <w:r w:rsidR="00844541">
        <w:rPr>
          <w:lang w:val="fr-FR"/>
        </w:rPr>
        <w:t>’</w:t>
      </w:r>
      <w:r w:rsidR="00911687" w:rsidRPr="00844541">
        <w:rPr>
          <w:lang w:val="fr-FR"/>
        </w:rPr>
        <w:t>était pas contraire à l</w:t>
      </w:r>
      <w:r w:rsidR="00844541">
        <w:rPr>
          <w:lang w:val="fr-FR"/>
        </w:rPr>
        <w:t>’</w:t>
      </w:r>
      <w:r w:rsidR="00911687" w:rsidRPr="00844541">
        <w:rPr>
          <w:lang w:val="fr-FR"/>
        </w:rPr>
        <w:t xml:space="preserve">article 14 de la Convention. Partant, </w:t>
      </w:r>
      <w:r w:rsidR="00005B06" w:rsidRPr="00844541">
        <w:rPr>
          <w:lang w:val="fr-FR"/>
        </w:rPr>
        <w:t>il n</w:t>
      </w:r>
      <w:r w:rsidR="00844541">
        <w:rPr>
          <w:lang w:val="fr-FR"/>
        </w:rPr>
        <w:t>’</w:t>
      </w:r>
      <w:r w:rsidR="00005B06" w:rsidRPr="00844541">
        <w:rPr>
          <w:lang w:val="fr-FR"/>
        </w:rPr>
        <w:t>y a pas eu</w:t>
      </w:r>
      <w:r w:rsidR="00EE372C" w:rsidRPr="00844541">
        <w:rPr>
          <w:lang w:val="fr-FR"/>
        </w:rPr>
        <w:t xml:space="preserve"> en l</w:t>
      </w:r>
      <w:r w:rsidR="00844541">
        <w:rPr>
          <w:lang w:val="fr-FR"/>
        </w:rPr>
        <w:t>’</w:t>
      </w:r>
      <w:r w:rsidR="00EE372C" w:rsidRPr="00844541">
        <w:rPr>
          <w:lang w:val="fr-FR"/>
        </w:rPr>
        <w:t>espèce</w:t>
      </w:r>
      <w:r w:rsidR="00005B06" w:rsidRPr="00844541">
        <w:rPr>
          <w:lang w:val="fr-FR"/>
        </w:rPr>
        <w:t xml:space="preserve"> violation de l</w:t>
      </w:r>
      <w:r w:rsidR="00844541">
        <w:rPr>
          <w:lang w:val="fr-FR"/>
        </w:rPr>
        <w:t>’</w:t>
      </w:r>
      <w:r w:rsidR="00005B06" w:rsidRPr="00844541">
        <w:rPr>
          <w:lang w:val="fr-FR"/>
        </w:rPr>
        <w:t xml:space="preserve">article </w:t>
      </w:r>
      <w:r w:rsidR="00CC1E76" w:rsidRPr="00844541">
        <w:rPr>
          <w:lang w:val="fr-FR"/>
        </w:rPr>
        <w:t xml:space="preserve">14 </w:t>
      </w:r>
      <w:r w:rsidR="003F55A1" w:rsidRPr="00844541">
        <w:rPr>
          <w:lang w:val="fr-FR"/>
        </w:rPr>
        <w:t xml:space="preserve">en </w:t>
      </w:r>
      <w:r w:rsidR="00005B06" w:rsidRPr="00844541">
        <w:rPr>
          <w:lang w:val="fr-FR"/>
        </w:rPr>
        <w:t>combin</w:t>
      </w:r>
      <w:r w:rsidR="003F55A1" w:rsidRPr="00844541">
        <w:rPr>
          <w:lang w:val="fr-FR"/>
        </w:rPr>
        <w:t>aison</w:t>
      </w:r>
      <w:r w:rsidR="00005B06" w:rsidRPr="00844541">
        <w:rPr>
          <w:lang w:val="fr-FR"/>
        </w:rPr>
        <w:t xml:space="preserve"> avec l</w:t>
      </w:r>
      <w:r w:rsidR="00844541">
        <w:rPr>
          <w:lang w:val="fr-FR"/>
        </w:rPr>
        <w:t>’</w:t>
      </w:r>
      <w:r w:rsidR="00005B06" w:rsidRPr="00844541">
        <w:rPr>
          <w:lang w:val="fr-FR"/>
        </w:rPr>
        <w:t xml:space="preserve">article </w:t>
      </w:r>
      <w:r w:rsidR="00CC1E76" w:rsidRPr="00844541">
        <w:rPr>
          <w:lang w:val="fr-FR"/>
        </w:rPr>
        <w:t>6 § 1</w:t>
      </w:r>
      <w:r w:rsidR="00005B06" w:rsidRPr="00844541">
        <w:rPr>
          <w:lang w:val="fr-FR"/>
        </w:rPr>
        <w:t xml:space="preserve"> de la Convention.</w:t>
      </w:r>
    </w:p>
    <w:p w:rsidR="00294F48" w:rsidRPr="00844541" w:rsidRDefault="00142D9E" w:rsidP="00844541">
      <w:pPr>
        <w:pStyle w:val="ECHRHeading1"/>
      </w:pPr>
      <w:r w:rsidRPr="00844541">
        <w:t>II</w:t>
      </w:r>
      <w:r w:rsidR="0052326B" w:rsidRPr="00844541">
        <w:t>I</w:t>
      </w:r>
      <w:r w:rsidR="00EC6427" w:rsidRPr="00844541">
        <w:t>.  </w:t>
      </w:r>
      <w:r w:rsidR="00294F48" w:rsidRPr="00844541">
        <w:t>SUR LA VIOLATION ALLÉGUÉE DE</w:t>
      </w:r>
      <w:r w:rsidR="008100CA" w:rsidRPr="00844541">
        <w:t xml:space="preserve"> L</w:t>
      </w:r>
      <w:r w:rsidR="00844541">
        <w:t>’</w:t>
      </w:r>
      <w:r w:rsidR="00294F48" w:rsidRPr="00844541">
        <w:t>ARTICLE 9 DE LA CONVENTIO</w:t>
      </w:r>
      <w:r w:rsidR="00921819" w:rsidRPr="00844541">
        <w:t>N</w:t>
      </w:r>
      <w:r w:rsidR="008100CA" w:rsidRPr="00844541">
        <w:t xml:space="preserve">, </w:t>
      </w:r>
      <w:r w:rsidR="00294F48" w:rsidRPr="00844541">
        <w:t>CONSID</w:t>
      </w:r>
      <w:r w:rsidR="00294F48" w:rsidRPr="00844541">
        <w:rPr>
          <w:snapToGrid w:val="0"/>
          <w:lang w:eastAsia="en-US"/>
        </w:rPr>
        <w:t>É</w:t>
      </w:r>
      <w:r w:rsidR="00294F48" w:rsidRPr="00844541">
        <w:t>R</w:t>
      </w:r>
      <w:r w:rsidR="00294F48" w:rsidRPr="00844541">
        <w:rPr>
          <w:snapToGrid w:val="0"/>
          <w:lang w:eastAsia="en-US"/>
        </w:rPr>
        <w:t>É</w:t>
      </w:r>
      <w:r w:rsidR="00294F48" w:rsidRPr="00844541">
        <w:t xml:space="preserve"> ISOL</w:t>
      </w:r>
      <w:r w:rsidR="00294F48" w:rsidRPr="00844541">
        <w:rPr>
          <w:snapToGrid w:val="0"/>
          <w:lang w:eastAsia="en-US"/>
        </w:rPr>
        <w:t>É</w:t>
      </w:r>
      <w:r w:rsidR="00294F48" w:rsidRPr="00844541">
        <w:t xml:space="preserve">MENT </w:t>
      </w:r>
      <w:r w:rsidR="008E5A59" w:rsidRPr="00844541">
        <w:t>ET</w:t>
      </w:r>
      <w:r w:rsidR="00294F48" w:rsidRPr="00844541">
        <w:t xml:space="preserve"> </w:t>
      </w:r>
      <w:r w:rsidR="008E5A59" w:rsidRPr="00844541">
        <w:t xml:space="preserve">EN </w:t>
      </w:r>
      <w:r w:rsidR="00294F48" w:rsidRPr="00844541">
        <w:t>COMBIN</w:t>
      </w:r>
      <w:r w:rsidR="008E5A59" w:rsidRPr="00844541">
        <w:t>AISON</w:t>
      </w:r>
      <w:r w:rsidR="00294F48" w:rsidRPr="00844541">
        <w:t xml:space="preserve"> AVEC L</w:t>
      </w:r>
      <w:r w:rsidR="00844541">
        <w:t>’</w:t>
      </w:r>
      <w:r w:rsidR="00294F48" w:rsidRPr="00844541">
        <w:t>ARTICLE</w:t>
      </w:r>
      <w:r w:rsidR="00244B29" w:rsidRPr="00844541">
        <w:t xml:space="preserve"> </w:t>
      </w:r>
      <w:r w:rsidR="00294F48" w:rsidRPr="00844541">
        <w:t>14 DE LA CONVENTION</w:t>
      </w:r>
    </w:p>
    <w:p w:rsidR="00294F48" w:rsidRPr="00844541" w:rsidRDefault="00AA632A"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122</w:t>
      </w:r>
      <w:r w:rsidRPr="00844541">
        <w:rPr>
          <w:noProof/>
        </w:rPr>
        <w:fldChar w:fldCharType="end"/>
      </w:r>
      <w:r w:rsidR="00294F48" w:rsidRPr="00844541">
        <w:rPr>
          <w:lang w:val="fr-FR"/>
        </w:rPr>
        <w:t>.  Les requérant</w:t>
      </w:r>
      <w:r w:rsidR="00227213" w:rsidRPr="00844541">
        <w:rPr>
          <w:lang w:val="fr-FR"/>
        </w:rPr>
        <w:t>s</w:t>
      </w:r>
      <w:r w:rsidR="00294F48" w:rsidRPr="00844541">
        <w:rPr>
          <w:lang w:val="fr-FR"/>
        </w:rPr>
        <w:t xml:space="preserve"> allèguent que la manière dont les juridictions nationales ont tranch</w:t>
      </w:r>
      <w:r w:rsidR="00412021" w:rsidRPr="00844541">
        <w:rPr>
          <w:lang w:val="fr-FR"/>
        </w:rPr>
        <w:t>é</w:t>
      </w:r>
      <w:r w:rsidR="00294F48" w:rsidRPr="00844541">
        <w:rPr>
          <w:lang w:val="fr-FR"/>
        </w:rPr>
        <w:t xml:space="preserve"> le litige en cause</w:t>
      </w:r>
      <w:r w:rsidR="00397248" w:rsidRPr="00844541">
        <w:rPr>
          <w:lang w:val="fr-FR"/>
        </w:rPr>
        <w:t xml:space="preserve"> et le</w:t>
      </w:r>
      <w:r w:rsidR="009C5B8A" w:rsidRPr="00844541">
        <w:rPr>
          <w:lang w:val="fr-FR"/>
        </w:rPr>
        <w:t>ur</w:t>
      </w:r>
      <w:r w:rsidR="00397248" w:rsidRPr="00844541">
        <w:rPr>
          <w:lang w:val="fr-FR"/>
        </w:rPr>
        <w:t xml:space="preserve"> refus d</w:t>
      </w:r>
      <w:r w:rsidR="00844541">
        <w:rPr>
          <w:lang w:val="fr-FR"/>
        </w:rPr>
        <w:t>’</w:t>
      </w:r>
      <w:r w:rsidR="00397248" w:rsidRPr="00844541">
        <w:rPr>
          <w:lang w:val="fr-FR"/>
        </w:rPr>
        <w:t>ordonner la restitution de l</w:t>
      </w:r>
      <w:r w:rsidR="00844541">
        <w:rPr>
          <w:lang w:val="fr-FR"/>
        </w:rPr>
        <w:t>’</w:t>
      </w:r>
      <w:r w:rsidR="00397248" w:rsidRPr="00844541">
        <w:rPr>
          <w:lang w:val="fr-FR"/>
        </w:rPr>
        <w:t>église</w:t>
      </w:r>
      <w:r w:rsidR="00294F48" w:rsidRPr="00844541">
        <w:rPr>
          <w:lang w:val="fr-FR"/>
        </w:rPr>
        <w:t xml:space="preserve"> </w:t>
      </w:r>
      <w:r w:rsidR="00397248" w:rsidRPr="00844541">
        <w:rPr>
          <w:lang w:val="fr-FR"/>
        </w:rPr>
        <w:t>ont</w:t>
      </w:r>
      <w:r w:rsidR="00294F48" w:rsidRPr="00844541">
        <w:rPr>
          <w:lang w:val="fr-FR"/>
        </w:rPr>
        <w:t xml:space="preserve"> porté atteinte à leur </w:t>
      </w:r>
      <w:r w:rsidR="003F55A1" w:rsidRPr="00844541">
        <w:rPr>
          <w:lang w:val="fr-FR"/>
        </w:rPr>
        <w:t xml:space="preserve">droit à la </w:t>
      </w:r>
      <w:r w:rsidR="00294F48" w:rsidRPr="00844541">
        <w:rPr>
          <w:lang w:val="fr-FR"/>
        </w:rPr>
        <w:t>liberté de religion, en violation de l</w:t>
      </w:r>
      <w:r w:rsidR="00844541">
        <w:rPr>
          <w:lang w:val="fr-FR"/>
        </w:rPr>
        <w:t>’</w:t>
      </w:r>
      <w:r w:rsidR="00294F48" w:rsidRPr="00844541">
        <w:rPr>
          <w:lang w:val="fr-FR"/>
        </w:rPr>
        <w:t>article 9 de la Convention</w:t>
      </w:r>
      <w:r w:rsidR="00AC6C16" w:rsidRPr="00844541">
        <w:rPr>
          <w:lang w:val="fr-FR"/>
        </w:rPr>
        <w:t>,</w:t>
      </w:r>
      <w:r w:rsidR="00294F48" w:rsidRPr="00844541">
        <w:rPr>
          <w:lang w:val="fr-FR"/>
        </w:rPr>
        <w:t xml:space="preserve"> pris isolément </w:t>
      </w:r>
      <w:r w:rsidR="00B637ED" w:rsidRPr="00844541">
        <w:rPr>
          <w:lang w:val="fr-FR"/>
        </w:rPr>
        <w:t>et</w:t>
      </w:r>
      <w:r w:rsidR="00294F48" w:rsidRPr="00844541">
        <w:rPr>
          <w:lang w:val="fr-FR"/>
        </w:rPr>
        <w:t xml:space="preserve"> en combinaison avec l</w:t>
      </w:r>
      <w:r w:rsidR="00844541">
        <w:rPr>
          <w:lang w:val="fr-FR"/>
        </w:rPr>
        <w:t>’</w:t>
      </w:r>
      <w:r w:rsidR="00294F48" w:rsidRPr="00844541">
        <w:rPr>
          <w:lang w:val="fr-FR"/>
        </w:rPr>
        <w:t>article</w:t>
      </w:r>
      <w:r w:rsidR="00A46E19" w:rsidRPr="00844541">
        <w:rPr>
          <w:lang w:val="fr-FR"/>
        </w:rPr>
        <w:t> </w:t>
      </w:r>
      <w:r w:rsidR="00B637ED" w:rsidRPr="00844541">
        <w:rPr>
          <w:lang w:val="fr-FR"/>
        </w:rPr>
        <w:t xml:space="preserve"> </w:t>
      </w:r>
      <w:r w:rsidR="00294F48" w:rsidRPr="00844541">
        <w:rPr>
          <w:lang w:val="fr-FR"/>
        </w:rPr>
        <w:t>14 de la Convention</w:t>
      </w:r>
      <w:r w:rsidR="00AD0B0E" w:rsidRPr="00844541">
        <w:rPr>
          <w:lang w:val="fr-FR"/>
        </w:rPr>
        <w:t xml:space="preserve"> </w:t>
      </w:r>
      <w:r w:rsidR="009C5B8A" w:rsidRPr="00844541">
        <w:rPr>
          <w:lang w:val="fr-FR"/>
        </w:rPr>
        <w:t>(</w:t>
      </w:r>
      <w:r w:rsidR="00AD0B0E" w:rsidRPr="00844541">
        <w:rPr>
          <w:lang w:val="fr-FR"/>
        </w:rPr>
        <w:t>précité</w:t>
      </w:r>
      <w:r w:rsidR="009C5B8A" w:rsidRPr="00844541">
        <w:rPr>
          <w:lang w:val="fr-FR"/>
        </w:rPr>
        <w:t>)</w:t>
      </w:r>
      <w:r w:rsidR="00294F48" w:rsidRPr="00844541">
        <w:rPr>
          <w:lang w:val="fr-FR"/>
        </w:rPr>
        <w:t>.</w:t>
      </w:r>
    </w:p>
    <w:p w:rsidR="00AC6C16"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123</w:t>
      </w:r>
      <w:r w:rsidRPr="00844541">
        <w:rPr>
          <w:noProof/>
        </w:rPr>
        <w:fldChar w:fldCharType="end"/>
      </w:r>
      <w:r w:rsidR="00450D90" w:rsidRPr="00844541">
        <w:rPr>
          <w:lang w:val="fr-FR"/>
        </w:rPr>
        <w:t>.  </w:t>
      </w:r>
      <w:r w:rsidR="00AC6C16" w:rsidRPr="00844541">
        <w:rPr>
          <w:lang w:val="fr-FR"/>
        </w:rPr>
        <w:t>L</w:t>
      </w:r>
      <w:r w:rsidR="00844541">
        <w:rPr>
          <w:lang w:val="fr-FR"/>
        </w:rPr>
        <w:t>’</w:t>
      </w:r>
      <w:r w:rsidR="00AC6C16" w:rsidRPr="00844541">
        <w:rPr>
          <w:lang w:val="fr-FR"/>
        </w:rPr>
        <w:t>article 9 de la Convention se lit ainsi :</w:t>
      </w:r>
    </w:p>
    <w:p w:rsidR="00AC6C16" w:rsidRPr="00844541" w:rsidRDefault="00AC6C16" w:rsidP="00844541">
      <w:pPr>
        <w:pStyle w:val="ECHRParaQuote"/>
      </w:pPr>
      <w:r w:rsidRPr="00844541">
        <w:t xml:space="preserve">« 1.  Toute personne a droit à la liberté de pensée, de conscience et de religion ; ce droit implique la liberté de changer de religion ou de conviction, ainsi que la liberté de </w:t>
      </w:r>
      <w:r w:rsidRPr="00844541">
        <w:lastRenderedPageBreak/>
        <w:t>manifester sa religion ou sa conviction individuellement ou collectivement, en public ou en privé, par le culte, l</w:t>
      </w:r>
      <w:r w:rsidR="00844541">
        <w:t>’</w:t>
      </w:r>
      <w:r w:rsidRPr="00844541">
        <w:t>enseignement, les pratiques et l</w:t>
      </w:r>
      <w:r w:rsidR="00844541">
        <w:t>’</w:t>
      </w:r>
      <w:r w:rsidRPr="00844541">
        <w:t>accomplissement des rites.</w:t>
      </w:r>
    </w:p>
    <w:p w:rsidR="00AC6C16" w:rsidRPr="00844541" w:rsidRDefault="00AC6C16" w:rsidP="00844541">
      <w:pPr>
        <w:pStyle w:val="ECHRParaQuote"/>
      </w:pPr>
      <w:r w:rsidRPr="00844541">
        <w:t>2.  La liberté de manifester sa religion ou ses convictions ne peut faire l</w:t>
      </w:r>
      <w:r w:rsidR="00844541">
        <w:t>’</w:t>
      </w:r>
      <w:r w:rsidRPr="00844541">
        <w:t>objet d</w:t>
      </w:r>
      <w:r w:rsidR="00844541">
        <w:t>’</w:t>
      </w:r>
      <w:r w:rsidRPr="00844541">
        <w:t>autres restrictions que celles qui, prévues par la loi, constituent des mesures nécessaires, dans une société démocratique, à la sécurité publique, à la protection de l</w:t>
      </w:r>
      <w:r w:rsidR="00844541">
        <w:t>’</w:t>
      </w:r>
      <w:r w:rsidRPr="00844541">
        <w:t>ordre, de la santé ou de la morale publiques, ou à la protection des droits et libertés d</w:t>
      </w:r>
      <w:r w:rsidR="00844541">
        <w:t>’</w:t>
      </w:r>
      <w:r w:rsidRPr="00844541">
        <w:t>autrui. »</w:t>
      </w:r>
    </w:p>
    <w:p w:rsidR="00D659DF" w:rsidRPr="00844541" w:rsidRDefault="00D659DF" w:rsidP="00844541">
      <w:pPr>
        <w:pStyle w:val="ECHRHeading2"/>
      </w:pPr>
      <w:r w:rsidRPr="00844541">
        <w:t>Sur la recevabilité</w:t>
      </w:r>
    </w:p>
    <w:p w:rsidR="007D1DAF" w:rsidRPr="00844541" w:rsidRDefault="007D1DAF" w:rsidP="00844541">
      <w:pPr>
        <w:pStyle w:val="ECHRHeading3"/>
      </w:pPr>
      <w:r w:rsidRPr="00844541">
        <w:t>1.</w:t>
      </w:r>
      <w:r w:rsidR="00C37E41" w:rsidRPr="00844541">
        <w:t>  </w:t>
      </w:r>
      <w:r w:rsidRPr="00844541">
        <w:t>Les arguments des parties</w:t>
      </w:r>
    </w:p>
    <w:p w:rsidR="00C46A37" w:rsidRPr="00844541" w:rsidRDefault="00F20E70" w:rsidP="00844541">
      <w:pPr>
        <w:pStyle w:val="ECHRHeading4"/>
      </w:pPr>
      <w:r w:rsidRPr="00844541">
        <w:t>a</w:t>
      </w:r>
      <w:r w:rsidR="00C46A37" w:rsidRPr="00844541">
        <w:t>)</w:t>
      </w:r>
      <w:r w:rsidR="00C37E41" w:rsidRPr="00844541">
        <w:t>  </w:t>
      </w:r>
      <w:r w:rsidR="00C46A37" w:rsidRPr="00844541">
        <w:t>Le Gouvernement</w:t>
      </w:r>
    </w:p>
    <w:bookmarkStart w:id="25" w:name="P124"/>
    <w:p w:rsidR="00C46A37"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124</w:t>
      </w:r>
      <w:r w:rsidRPr="00844541">
        <w:rPr>
          <w:noProof/>
        </w:rPr>
        <w:fldChar w:fldCharType="end"/>
      </w:r>
      <w:bookmarkEnd w:id="25"/>
      <w:r w:rsidR="00B679A3" w:rsidRPr="00844541">
        <w:rPr>
          <w:lang w:val="fr-FR"/>
        </w:rPr>
        <w:t>.  </w:t>
      </w:r>
      <w:r w:rsidR="00C46A37" w:rsidRPr="00844541">
        <w:rPr>
          <w:lang w:val="fr-FR"/>
        </w:rPr>
        <w:t>Le Gouvernement invite la Cour à ne pas statuer sur ce grief des requérants</w:t>
      </w:r>
      <w:r w:rsidR="00220718" w:rsidRPr="00844541">
        <w:rPr>
          <w:lang w:val="fr-FR"/>
        </w:rPr>
        <w:t>, soutenant que, c</w:t>
      </w:r>
      <w:r w:rsidR="004231C0" w:rsidRPr="00844541">
        <w:rPr>
          <w:lang w:val="fr-FR"/>
        </w:rPr>
        <w:t>elui-ci étant selon lui de</w:t>
      </w:r>
      <w:r w:rsidR="00C46A37" w:rsidRPr="00844541">
        <w:rPr>
          <w:lang w:val="fr-FR"/>
        </w:rPr>
        <w:t xml:space="preserve"> caractère procédural</w:t>
      </w:r>
      <w:r w:rsidR="006D1BFC" w:rsidRPr="00844541">
        <w:rPr>
          <w:lang w:val="fr-FR"/>
        </w:rPr>
        <w:t>,</w:t>
      </w:r>
      <w:r w:rsidR="00C46A37" w:rsidRPr="00844541">
        <w:rPr>
          <w:lang w:val="fr-FR"/>
        </w:rPr>
        <w:t xml:space="preserve"> </w:t>
      </w:r>
      <w:r w:rsidR="006D1BFC" w:rsidRPr="00844541">
        <w:rPr>
          <w:lang w:val="fr-FR"/>
        </w:rPr>
        <w:t>il y a lieu</w:t>
      </w:r>
      <w:r w:rsidR="00C46A37" w:rsidRPr="00844541">
        <w:rPr>
          <w:lang w:val="fr-FR"/>
        </w:rPr>
        <w:t xml:space="preserve"> </w:t>
      </w:r>
      <w:r w:rsidR="006D1BFC" w:rsidRPr="00844541">
        <w:rPr>
          <w:lang w:val="fr-FR"/>
        </w:rPr>
        <w:t>de l</w:t>
      </w:r>
      <w:r w:rsidR="00844541">
        <w:rPr>
          <w:lang w:val="fr-FR"/>
        </w:rPr>
        <w:t>’</w:t>
      </w:r>
      <w:r w:rsidR="00C46A37" w:rsidRPr="00844541">
        <w:rPr>
          <w:lang w:val="fr-FR"/>
        </w:rPr>
        <w:t>examin</w:t>
      </w:r>
      <w:r w:rsidR="006D1BFC" w:rsidRPr="00844541">
        <w:rPr>
          <w:lang w:val="fr-FR"/>
        </w:rPr>
        <w:t>er</w:t>
      </w:r>
      <w:r w:rsidR="00C46A37" w:rsidRPr="00844541">
        <w:rPr>
          <w:lang w:val="fr-FR"/>
        </w:rPr>
        <w:t xml:space="preserve"> sous l</w:t>
      </w:r>
      <w:r w:rsidR="00844541">
        <w:rPr>
          <w:lang w:val="fr-FR"/>
        </w:rPr>
        <w:t>’</w:t>
      </w:r>
      <w:r w:rsidR="00C46A37" w:rsidRPr="00844541">
        <w:rPr>
          <w:lang w:val="fr-FR"/>
        </w:rPr>
        <w:t>angle d</w:t>
      </w:r>
      <w:r w:rsidR="006D1BFC" w:rsidRPr="00844541">
        <w:rPr>
          <w:lang w:val="fr-FR"/>
        </w:rPr>
        <w:t xml:space="preserve">u seul </w:t>
      </w:r>
      <w:r w:rsidR="00C46A37" w:rsidRPr="00844541">
        <w:rPr>
          <w:lang w:val="fr-FR"/>
        </w:rPr>
        <w:t>article 6 de la Convention.</w:t>
      </w:r>
    </w:p>
    <w:p w:rsidR="00B43D08"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125</w:t>
      </w:r>
      <w:r w:rsidRPr="00844541">
        <w:rPr>
          <w:noProof/>
        </w:rPr>
        <w:fldChar w:fldCharType="end"/>
      </w:r>
      <w:r w:rsidR="00B679A3" w:rsidRPr="00844541">
        <w:rPr>
          <w:lang w:val="fr-FR"/>
        </w:rPr>
        <w:t>.  </w:t>
      </w:r>
      <w:r w:rsidR="00C46A37" w:rsidRPr="00844541">
        <w:rPr>
          <w:lang w:val="fr-FR"/>
        </w:rPr>
        <w:t xml:space="preserve">Il </w:t>
      </w:r>
      <w:r w:rsidR="0057198B" w:rsidRPr="00844541">
        <w:rPr>
          <w:lang w:val="fr-FR"/>
        </w:rPr>
        <w:t xml:space="preserve">indique </w:t>
      </w:r>
      <w:r w:rsidR="00C46A37" w:rsidRPr="00844541">
        <w:rPr>
          <w:lang w:val="fr-FR"/>
        </w:rPr>
        <w:t xml:space="preserve">ensuite </w:t>
      </w:r>
      <w:r w:rsidR="0057198B" w:rsidRPr="00844541">
        <w:rPr>
          <w:lang w:val="fr-FR"/>
        </w:rPr>
        <w:t>que</w:t>
      </w:r>
      <w:r w:rsidR="009C5C35" w:rsidRPr="00844541">
        <w:rPr>
          <w:lang w:val="fr-FR"/>
        </w:rPr>
        <w:t xml:space="preserve"> </w:t>
      </w:r>
      <w:r w:rsidR="00731652" w:rsidRPr="00844541">
        <w:rPr>
          <w:lang w:val="fr-FR"/>
        </w:rPr>
        <w:t>les intéressés ont toujours pu manifester librement leur religion et qu</w:t>
      </w:r>
      <w:r w:rsidR="00844541">
        <w:rPr>
          <w:lang w:val="fr-FR"/>
        </w:rPr>
        <w:t>’</w:t>
      </w:r>
      <w:r w:rsidR="009C5C35" w:rsidRPr="00844541">
        <w:rPr>
          <w:lang w:val="fr-FR"/>
        </w:rPr>
        <w:t>il n</w:t>
      </w:r>
      <w:r w:rsidR="00844541">
        <w:rPr>
          <w:lang w:val="fr-FR"/>
        </w:rPr>
        <w:t>’</w:t>
      </w:r>
      <w:r w:rsidR="009C5C35" w:rsidRPr="00844541">
        <w:rPr>
          <w:lang w:val="fr-FR"/>
        </w:rPr>
        <w:t xml:space="preserve">y a </w:t>
      </w:r>
      <w:r w:rsidR="00731652" w:rsidRPr="00844541">
        <w:rPr>
          <w:lang w:val="fr-FR"/>
        </w:rPr>
        <w:t xml:space="preserve">donc </w:t>
      </w:r>
      <w:r w:rsidR="009C5C35" w:rsidRPr="00844541">
        <w:rPr>
          <w:lang w:val="fr-FR"/>
        </w:rPr>
        <w:t>pas eu ingérence dans le</w:t>
      </w:r>
      <w:r w:rsidR="00731652" w:rsidRPr="00844541">
        <w:rPr>
          <w:lang w:val="fr-FR"/>
        </w:rPr>
        <w:t>ur</w:t>
      </w:r>
      <w:r w:rsidR="009C5C35" w:rsidRPr="00844541">
        <w:rPr>
          <w:lang w:val="fr-FR"/>
        </w:rPr>
        <w:t xml:space="preserve"> droit à la liberté de religion</w:t>
      </w:r>
      <w:r w:rsidR="00C46A37" w:rsidRPr="00844541">
        <w:rPr>
          <w:lang w:val="fr-FR"/>
        </w:rPr>
        <w:t>.</w:t>
      </w:r>
      <w:r w:rsidR="003655B3" w:rsidRPr="00844541">
        <w:rPr>
          <w:lang w:val="fr-FR"/>
        </w:rPr>
        <w:t xml:space="preserve"> </w:t>
      </w:r>
      <w:r w:rsidR="00401516" w:rsidRPr="00844541">
        <w:rPr>
          <w:lang w:val="fr-FR"/>
        </w:rPr>
        <w:t>I</w:t>
      </w:r>
      <w:r w:rsidR="003655B3" w:rsidRPr="00844541">
        <w:rPr>
          <w:lang w:val="fr-FR"/>
        </w:rPr>
        <w:t xml:space="preserve">l </w:t>
      </w:r>
      <w:r w:rsidR="0057198B" w:rsidRPr="00844541">
        <w:rPr>
          <w:lang w:val="fr-FR"/>
        </w:rPr>
        <w:t>précise</w:t>
      </w:r>
      <w:r w:rsidR="003655B3" w:rsidRPr="00844541">
        <w:rPr>
          <w:lang w:val="fr-FR"/>
        </w:rPr>
        <w:t xml:space="preserve"> que la communauté religieuse </w:t>
      </w:r>
      <w:r w:rsidR="00AC335A" w:rsidRPr="00844541">
        <w:rPr>
          <w:lang w:val="fr-FR"/>
        </w:rPr>
        <w:t>gréco</w:t>
      </w:r>
      <w:r w:rsidR="00497895" w:rsidRPr="00844541">
        <w:rPr>
          <w:lang w:val="fr-FR"/>
        </w:rPr>
        <w:noBreakHyphen/>
      </w:r>
      <w:r w:rsidR="00AC335A" w:rsidRPr="00844541">
        <w:rPr>
          <w:lang w:val="fr-FR"/>
        </w:rPr>
        <w:t xml:space="preserve">catholique </w:t>
      </w:r>
      <w:r w:rsidR="003655B3" w:rsidRPr="00844541">
        <w:rPr>
          <w:lang w:val="fr-FR"/>
        </w:rPr>
        <w:t xml:space="preserve">est reconnue par la loi, </w:t>
      </w:r>
      <w:r w:rsidR="00401516" w:rsidRPr="00844541">
        <w:rPr>
          <w:lang w:val="fr-FR"/>
        </w:rPr>
        <w:t xml:space="preserve">que </w:t>
      </w:r>
      <w:r w:rsidR="003655B3" w:rsidRPr="00844541">
        <w:rPr>
          <w:lang w:val="fr-FR"/>
        </w:rPr>
        <w:t>ses prêtres peuvent officier</w:t>
      </w:r>
      <w:r w:rsidR="00401516" w:rsidRPr="00844541">
        <w:rPr>
          <w:lang w:val="fr-FR"/>
        </w:rPr>
        <w:t xml:space="preserve"> et que </w:t>
      </w:r>
      <w:r w:rsidR="003655B3" w:rsidRPr="00844541">
        <w:rPr>
          <w:lang w:val="fr-FR"/>
        </w:rPr>
        <w:t xml:space="preserve">ses membres peuvent se réunir pour pratiquer leur religion dans un bâtiment adéquat. Il </w:t>
      </w:r>
      <w:r w:rsidR="0057198B" w:rsidRPr="00844541">
        <w:rPr>
          <w:lang w:val="fr-FR"/>
        </w:rPr>
        <w:t>soutient</w:t>
      </w:r>
      <w:r w:rsidR="00731652" w:rsidRPr="00844541">
        <w:rPr>
          <w:lang w:val="fr-FR"/>
        </w:rPr>
        <w:t xml:space="preserve"> en outre </w:t>
      </w:r>
      <w:r w:rsidR="003655B3" w:rsidRPr="00844541">
        <w:rPr>
          <w:lang w:val="fr-FR"/>
        </w:rPr>
        <w:t>qu</w:t>
      </w:r>
      <w:r w:rsidR="00844541">
        <w:rPr>
          <w:lang w:val="fr-FR"/>
        </w:rPr>
        <w:t>’</w:t>
      </w:r>
      <w:r w:rsidR="00C568E3" w:rsidRPr="00844541">
        <w:rPr>
          <w:lang w:val="fr-FR"/>
        </w:rPr>
        <w:t>il n</w:t>
      </w:r>
      <w:r w:rsidR="00844541">
        <w:rPr>
          <w:lang w:val="fr-FR"/>
        </w:rPr>
        <w:t>’</w:t>
      </w:r>
      <w:r w:rsidR="00C568E3" w:rsidRPr="00844541">
        <w:rPr>
          <w:lang w:val="fr-FR"/>
        </w:rPr>
        <w:t xml:space="preserve">est pas établi que </w:t>
      </w:r>
      <w:r w:rsidR="003655B3" w:rsidRPr="00844541">
        <w:rPr>
          <w:lang w:val="fr-FR"/>
        </w:rPr>
        <w:t>l</w:t>
      </w:r>
      <w:r w:rsidR="00844541">
        <w:rPr>
          <w:lang w:val="fr-FR"/>
        </w:rPr>
        <w:t>’</w:t>
      </w:r>
      <w:r w:rsidR="003655B3" w:rsidRPr="00844541">
        <w:rPr>
          <w:lang w:val="fr-FR"/>
        </w:rPr>
        <w:t xml:space="preserve">office religieux gréco-catholique </w:t>
      </w:r>
      <w:r w:rsidR="00731652" w:rsidRPr="00844541">
        <w:rPr>
          <w:lang w:val="fr-FR"/>
        </w:rPr>
        <w:t>soit</w:t>
      </w:r>
      <w:r w:rsidR="003655B3" w:rsidRPr="00844541">
        <w:rPr>
          <w:lang w:val="fr-FR"/>
        </w:rPr>
        <w:t xml:space="preserve"> lié de manière indisso</w:t>
      </w:r>
      <w:r w:rsidR="000859EA" w:rsidRPr="00844541">
        <w:rPr>
          <w:lang w:val="fr-FR"/>
        </w:rPr>
        <w:t>ciable</w:t>
      </w:r>
      <w:r w:rsidR="003655B3" w:rsidRPr="00844541">
        <w:rPr>
          <w:lang w:val="fr-FR"/>
        </w:rPr>
        <w:t xml:space="preserve"> à la propriété de l</w:t>
      </w:r>
      <w:r w:rsidR="00844541">
        <w:rPr>
          <w:lang w:val="fr-FR"/>
        </w:rPr>
        <w:t>’</w:t>
      </w:r>
      <w:r w:rsidR="00401516" w:rsidRPr="00844541">
        <w:rPr>
          <w:lang w:val="fr-FR"/>
        </w:rPr>
        <w:t>église</w:t>
      </w:r>
      <w:r w:rsidR="003655B3" w:rsidRPr="00844541">
        <w:rPr>
          <w:lang w:val="fr-FR"/>
        </w:rPr>
        <w:t xml:space="preserve"> litigie</w:t>
      </w:r>
      <w:r w:rsidR="00401516" w:rsidRPr="00844541">
        <w:rPr>
          <w:lang w:val="fr-FR"/>
        </w:rPr>
        <w:t>use</w:t>
      </w:r>
      <w:r w:rsidR="003655B3" w:rsidRPr="00844541">
        <w:rPr>
          <w:lang w:val="fr-FR"/>
        </w:rPr>
        <w:t>.</w:t>
      </w:r>
    </w:p>
    <w:p w:rsidR="00B43D08"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126</w:t>
      </w:r>
      <w:r w:rsidRPr="00844541">
        <w:rPr>
          <w:noProof/>
        </w:rPr>
        <w:fldChar w:fldCharType="end"/>
      </w:r>
      <w:r w:rsidR="00B679A3" w:rsidRPr="00844541">
        <w:rPr>
          <w:lang w:val="fr-FR"/>
        </w:rPr>
        <w:t>.  </w:t>
      </w:r>
      <w:r w:rsidR="00B85F53" w:rsidRPr="00844541">
        <w:rPr>
          <w:lang w:val="fr-FR"/>
        </w:rPr>
        <w:t>Dans ses observations complémentaires, l</w:t>
      </w:r>
      <w:r w:rsidR="00CB70C8" w:rsidRPr="00844541">
        <w:rPr>
          <w:lang w:val="fr-FR"/>
        </w:rPr>
        <w:t xml:space="preserve">e Gouvernement </w:t>
      </w:r>
      <w:r w:rsidR="00AC67A6" w:rsidRPr="00844541">
        <w:rPr>
          <w:lang w:val="fr-FR"/>
        </w:rPr>
        <w:t>ajoute qu</w:t>
      </w:r>
      <w:r w:rsidR="00844541">
        <w:rPr>
          <w:lang w:val="fr-FR"/>
        </w:rPr>
        <w:t>’</w:t>
      </w:r>
      <w:r w:rsidR="00AC67A6" w:rsidRPr="00844541">
        <w:rPr>
          <w:lang w:val="fr-FR"/>
        </w:rPr>
        <w:t xml:space="preserve">il </w:t>
      </w:r>
      <w:r w:rsidR="00731652" w:rsidRPr="00844541">
        <w:rPr>
          <w:lang w:val="fr-FR"/>
        </w:rPr>
        <w:t>n</w:t>
      </w:r>
      <w:r w:rsidR="00844541">
        <w:rPr>
          <w:lang w:val="fr-FR"/>
        </w:rPr>
        <w:t>’</w:t>
      </w:r>
      <w:r w:rsidR="00AC67A6" w:rsidRPr="00844541">
        <w:rPr>
          <w:lang w:val="fr-FR"/>
        </w:rPr>
        <w:t>ignore</w:t>
      </w:r>
      <w:r w:rsidR="00731652" w:rsidRPr="00844541">
        <w:rPr>
          <w:lang w:val="fr-FR"/>
        </w:rPr>
        <w:t xml:space="preserve"> pas</w:t>
      </w:r>
      <w:r w:rsidR="00AC67A6" w:rsidRPr="00844541">
        <w:rPr>
          <w:lang w:val="fr-FR"/>
        </w:rPr>
        <w:t xml:space="preserve"> le rôle </w:t>
      </w:r>
      <w:r w:rsidR="003F3B92" w:rsidRPr="00844541">
        <w:rPr>
          <w:lang w:val="fr-FR"/>
        </w:rPr>
        <w:t>jou</w:t>
      </w:r>
      <w:r w:rsidR="00401516" w:rsidRPr="00844541">
        <w:rPr>
          <w:lang w:val="fr-FR"/>
        </w:rPr>
        <w:t>é</w:t>
      </w:r>
      <w:r w:rsidR="003F3B92" w:rsidRPr="00844541">
        <w:rPr>
          <w:lang w:val="fr-FR"/>
        </w:rPr>
        <w:t xml:space="preserve"> par </w:t>
      </w:r>
      <w:r w:rsidR="00AC67A6" w:rsidRPr="00844541">
        <w:rPr>
          <w:lang w:val="fr-FR"/>
        </w:rPr>
        <w:t xml:space="preserve">un lieu de culte pour une communauté religieuse. </w:t>
      </w:r>
      <w:r w:rsidR="00731652" w:rsidRPr="00844541">
        <w:rPr>
          <w:lang w:val="fr-FR"/>
        </w:rPr>
        <w:t>Il indique que</w:t>
      </w:r>
      <w:r w:rsidR="00401516" w:rsidRPr="00844541">
        <w:rPr>
          <w:lang w:val="fr-FR"/>
        </w:rPr>
        <w:t xml:space="preserve"> </w:t>
      </w:r>
      <w:r w:rsidR="00AC67A6" w:rsidRPr="00844541">
        <w:rPr>
          <w:lang w:val="fr-FR"/>
        </w:rPr>
        <w:t>l</w:t>
      </w:r>
      <w:r w:rsidR="00844541">
        <w:rPr>
          <w:lang w:val="fr-FR"/>
        </w:rPr>
        <w:t>’</w:t>
      </w:r>
      <w:r w:rsidR="00AC67A6" w:rsidRPr="00844541">
        <w:rPr>
          <w:lang w:val="fr-FR"/>
        </w:rPr>
        <w:t xml:space="preserve">État </w:t>
      </w:r>
      <w:r w:rsidR="00401516" w:rsidRPr="00844541">
        <w:rPr>
          <w:lang w:val="fr-FR"/>
        </w:rPr>
        <w:t xml:space="preserve">roumain </w:t>
      </w:r>
      <w:r w:rsidR="00AC67A6" w:rsidRPr="00844541">
        <w:rPr>
          <w:lang w:val="fr-FR"/>
        </w:rPr>
        <w:t>a prévu non seulement des mesures à caractère déclaratif mais également des mesures à caractère réparateur, tout en respectant</w:t>
      </w:r>
      <w:r w:rsidR="0057198B" w:rsidRPr="00844541">
        <w:rPr>
          <w:lang w:val="fr-FR"/>
        </w:rPr>
        <w:t>, selon le Gouvernement,</w:t>
      </w:r>
      <w:r w:rsidR="00AC67A6" w:rsidRPr="00844541">
        <w:rPr>
          <w:lang w:val="fr-FR"/>
        </w:rPr>
        <w:t xml:space="preserve"> son devoir d</w:t>
      </w:r>
      <w:r w:rsidR="003F3B92" w:rsidRPr="00844541">
        <w:rPr>
          <w:lang w:val="fr-FR"/>
        </w:rPr>
        <w:t>e rester</w:t>
      </w:r>
      <w:r w:rsidR="00AC67A6" w:rsidRPr="00844541">
        <w:rPr>
          <w:lang w:val="fr-FR"/>
        </w:rPr>
        <w:t xml:space="preserve"> neutre et impartial dans l</w:t>
      </w:r>
      <w:r w:rsidR="00844541">
        <w:rPr>
          <w:lang w:val="fr-FR"/>
        </w:rPr>
        <w:t>’</w:t>
      </w:r>
      <w:r w:rsidR="00AC67A6" w:rsidRPr="00844541">
        <w:rPr>
          <w:lang w:val="fr-FR"/>
        </w:rPr>
        <w:t>exercice de son pouvoir de réglementation en la matière et dans s</w:t>
      </w:r>
      <w:r w:rsidR="00B05BD4" w:rsidRPr="00844541">
        <w:rPr>
          <w:lang w:val="fr-FR"/>
        </w:rPr>
        <w:t>es</w:t>
      </w:r>
      <w:r w:rsidR="00AC67A6" w:rsidRPr="00844541">
        <w:rPr>
          <w:lang w:val="fr-FR"/>
        </w:rPr>
        <w:t xml:space="preserve"> relation</w:t>
      </w:r>
      <w:r w:rsidR="00B05BD4" w:rsidRPr="00844541">
        <w:rPr>
          <w:lang w:val="fr-FR"/>
        </w:rPr>
        <w:t>s</w:t>
      </w:r>
      <w:r w:rsidR="00AC67A6" w:rsidRPr="00844541">
        <w:rPr>
          <w:lang w:val="fr-FR"/>
        </w:rPr>
        <w:t xml:space="preserve"> avec les diverses religions. </w:t>
      </w:r>
      <w:r w:rsidR="00731652" w:rsidRPr="00844541">
        <w:rPr>
          <w:lang w:val="fr-FR"/>
        </w:rPr>
        <w:t>Il soutient de plus</w:t>
      </w:r>
      <w:r w:rsidR="003F3B92" w:rsidRPr="00844541">
        <w:rPr>
          <w:lang w:val="fr-FR"/>
        </w:rPr>
        <w:t xml:space="preserve"> </w:t>
      </w:r>
      <w:r w:rsidR="00AC67A6" w:rsidRPr="00844541">
        <w:rPr>
          <w:lang w:val="fr-FR"/>
        </w:rPr>
        <w:t>que 237</w:t>
      </w:r>
      <w:r w:rsidR="004C72D8" w:rsidRPr="00844541">
        <w:rPr>
          <w:lang w:val="fr-FR"/>
        </w:rPr>
        <w:t> </w:t>
      </w:r>
      <w:r w:rsidR="00AC67A6" w:rsidRPr="00844541">
        <w:rPr>
          <w:lang w:val="fr-FR"/>
        </w:rPr>
        <w:t>lieux de culte ont été restitués aux communautés gréco-catholiques et que d</w:t>
      </w:r>
      <w:r w:rsidR="00844541">
        <w:rPr>
          <w:lang w:val="fr-FR"/>
        </w:rPr>
        <w:t>’</w:t>
      </w:r>
      <w:r w:rsidR="00AC67A6" w:rsidRPr="00844541">
        <w:rPr>
          <w:lang w:val="fr-FR"/>
        </w:rPr>
        <w:t>autres communautés gréco-catholiques ont bénéficié d</w:t>
      </w:r>
      <w:r w:rsidR="00D54186" w:rsidRPr="00844541">
        <w:rPr>
          <w:lang w:val="fr-FR"/>
        </w:rPr>
        <w:t>e l</w:t>
      </w:r>
      <w:r w:rsidR="00844541">
        <w:rPr>
          <w:lang w:val="fr-FR"/>
        </w:rPr>
        <w:t>’</w:t>
      </w:r>
      <w:r w:rsidR="00AC67A6" w:rsidRPr="00844541">
        <w:rPr>
          <w:lang w:val="fr-FR"/>
        </w:rPr>
        <w:t xml:space="preserve">aide </w:t>
      </w:r>
      <w:r w:rsidR="00F87266" w:rsidRPr="00844541">
        <w:rPr>
          <w:lang w:val="fr-FR"/>
        </w:rPr>
        <w:t xml:space="preserve">à </w:t>
      </w:r>
      <w:r w:rsidR="00AC67A6" w:rsidRPr="00844541">
        <w:rPr>
          <w:lang w:val="fr-FR"/>
        </w:rPr>
        <w:t>l</w:t>
      </w:r>
      <w:r w:rsidR="00844541">
        <w:rPr>
          <w:lang w:val="fr-FR"/>
        </w:rPr>
        <w:t>’</w:t>
      </w:r>
      <w:r w:rsidR="00AC67A6" w:rsidRPr="00844541">
        <w:rPr>
          <w:lang w:val="fr-FR"/>
        </w:rPr>
        <w:t>édification de nouveaux lieu</w:t>
      </w:r>
      <w:r w:rsidR="00731652" w:rsidRPr="00844541">
        <w:rPr>
          <w:lang w:val="fr-FR"/>
        </w:rPr>
        <w:t>x</w:t>
      </w:r>
      <w:r w:rsidR="00AC67A6" w:rsidRPr="00844541">
        <w:rPr>
          <w:lang w:val="fr-FR"/>
        </w:rPr>
        <w:t xml:space="preserve"> de culte. Il </w:t>
      </w:r>
      <w:r w:rsidR="00731652" w:rsidRPr="00844541">
        <w:rPr>
          <w:lang w:val="fr-FR"/>
        </w:rPr>
        <w:t xml:space="preserve">dit enfin </w:t>
      </w:r>
      <w:r w:rsidR="00AC67A6" w:rsidRPr="00844541">
        <w:rPr>
          <w:lang w:val="fr-FR"/>
        </w:rPr>
        <w:t>que l</w:t>
      </w:r>
      <w:r w:rsidR="00D54186" w:rsidRPr="00844541">
        <w:rPr>
          <w:lang w:val="fr-FR"/>
        </w:rPr>
        <w:t>es</w:t>
      </w:r>
      <w:r w:rsidR="00AC67A6" w:rsidRPr="00844541">
        <w:rPr>
          <w:lang w:val="fr-FR"/>
        </w:rPr>
        <w:t xml:space="preserve"> requérant</w:t>
      </w:r>
      <w:r w:rsidR="00D54186" w:rsidRPr="00844541">
        <w:rPr>
          <w:lang w:val="fr-FR"/>
        </w:rPr>
        <w:t>s</w:t>
      </w:r>
      <w:r w:rsidR="00AC67A6" w:rsidRPr="00844541">
        <w:rPr>
          <w:lang w:val="fr-FR"/>
        </w:rPr>
        <w:t xml:space="preserve"> n</w:t>
      </w:r>
      <w:r w:rsidR="00844541">
        <w:rPr>
          <w:lang w:val="fr-FR"/>
        </w:rPr>
        <w:t>’</w:t>
      </w:r>
      <w:r w:rsidR="00D54186" w:rsidRPr="00844541">
        <w:rPr>
          <w:lang w:val="fr-FR"/>
        </w:rPr>
        <w:t>ont</w:t>
      </w:r>
      <w:r w:rsidR="00AC67A6" w:rsidRPr="00844541">
        <w:rPr>
          <w:lang w:val="fr-FR"/>
        </w:rPr>
        <w:t xml:space="preserve"> pas demand</w:t>
      </w:r>
      <w:r w:rsidR="00F87266" w:rsidRPr="00844541">
        <w:rPr>
          <w:lang w:val="fr-FR"/>
        </w:rPr>
        <w:t>é à</w:t>
      </w:r>
      <w:r w:rsidR="00AC67A6" w:rsidRPr="00844541">
        <w:rPr>
          <w:lang w:val="fr-FR"/>
        </w:rPr>
        <w:t xml:space="preserve"> bénéficier d</w:t>
      </w:r>
      <w:r w:rsidR="00844541">
        <w:rPr>
          <w:lang w:val="fr-FR"/>
        </w:rPr>
        <w:t>’</w:t>
      </w:r>
      <w:r w:rsidR="00AC67A6" w:rsidRPr="00844541">
        <w:rPr>
          <w:lang w:val="fr-FR"/>
        </w:rPr>
        <w:t>une aide financière.</w:t>
      </w:r>
    </w:p>
    <w:p w:rsidR="00F20E70" w:rsidRPr="00844541" w:rsidRDefault="00F20E70" w:rsidP="00844541">
      <w:pPr>
        <w:pStyle w:val="ECHRHeading4"/>
      </w:pPr>
      <w:r w:rsidRPr="00844541">
        <w:t>b)</w:t>
      </w:r>
      <w:r w:rsidR="00C37E41" w:rsidRPr="00844541">
        <w:t>  </w:t>
      </w:r>
      <w:r w:rsidRPr="00844541">
        <w:t>Les requérants</w:t>
      </w:r>
    </w:p>
    <w:p w:rsidR="00F20E70"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127</w:t>
      </w:r>
      <w:r w:rsidRPr="00844541">
        <w:rPr>
          <w:noProof/>
        </w:rPr>
        <w:fldChar w:fldCharType="end"/>
      </w:r>
      <w:r w:rsidR="00F20E70" w:rsidRPr="00844541">
        <w:rPr>
          <w:lang w:val="fr-FR"/>
        </w:rPr>
        <w:t>.  Les requérants estiment qu</w:t>
      </w:r>
      <w:r w:rsidR="00731652" w:rsidRPr="00844541">
        <w:rPr>
          <w:lang w:val="fr-FR"/>
        </w:rPr>
        <w:t>e le rejet de leur action visant à la restitution d</w:t>
      </w:r>
      <w:r w:rsidR="00844541">
        <w:rPr>
          <w:lang w:val="fr-FR"/>
        </w:rPr>
        <w:t>’</w:t>
      </w:r>
      <w:r w:rsidR="00731652" w:rsidRPr="00844541">
        <w:rPr>
          <w:lang w:val="fr-FR"/>
        </w:rPr>
        <w:t xml:space="preserve">un </w:t>
      </w:r>
      <w:r w:rsidR="001C4B59" w:rsidRPr="00844541">
        <w:rPr>
          <w:lang w:val="fr-FR"/>
        </w:rPr>
        <w:t>édifice</w:t>
      </w:r>
      <w:r w:rsidR="00731652" w:rsidRPr="00844541">
        <w:rPr>
          <w:lang w:val="fr-FR"/>
        </w:rPr>
        <w:t xml:space="preserve"> de culte a constitué</w:t>
      </w:r>
      <w:r w:rsidR="00F20E70" w:rsidRPr="00844541">
        <w:rPr>
          <w:lang w:val="fr-FR"/>
        </w:rPr>
        <w:t xml:space="preserve"> une ingérence dans le respect de leur droit à la</w:t>
      </w:r>
      <w:r w:rsidR="00731652" w:rsidRPr="00844541">
        <w:rPr>
          <w:lang w:val="fr-FR"/>
        </w:rPr>
        <w:t xml:space="preserve"> liberté de</w:t>
      </w:r>
      <w:r w:rsidR="00F20E70" w:rsidRPr="00844541">
        <w:rPr>
          <w:lang w:val="fr-FR"/>
        </w:rPr>
        <w:t xml:space="preserve"> religion. Ils </w:t>
      </w:r>
      <w:r w:rsidR="0095236B" w:rsidRPr="00844541">
        <w:rPr>
          <w:lang w:val="fr-FR"/>
        </w:rPr>
        <w:t xml:space="preserve">arguent </w:t>
      </w:r>
      <w:r w:rsidR="00F20E70" w:rsidRPr="00844541">
        <w:rPr>
          <w:lang w:val="fr-FR"/>
        </w:rPr>
        <w:t xml:space="preserve">que </w:t>
      </w:r>
      <w:r w:rsidR="0095236B" w:rsidRPr="00844541">
        <w:rPr>
          <w:lang w:val="fr-FR"/>
        </w:rPr>
        <w:t>le droit protégé par l</w:t>
      </w:r>
      <w:r w:rsidR="00844541">
        <w:rPr>
          <w:lang w:val="fr-FR"/>
        </w:rPr>
        <w:t>’</w:t>
      </w:r>
      <w:r w:rsidR="0095236B" w:rsidRPr="00844541">
        <w:rPr>
          <w:lang w:val="fr-FR"/>
        </w:rPr>
        <w:t>article </w:t>
      </w:r>
      <w:r w:rsidR="00F20E70" w:rsidRPr="00844541">
        <w:rPr>
          <w:lang w:val="fr-FR"/>
        </w:rPr>
        <w:t xml:space="preserve">9 de la Convention </w:t>
      </w:r>
      <w:r w:rsidR="0095236B" w:rsidRPr="00844541">
        <w:rPr>
          <w:lang w:val="fr-FR"/>
        </w:rPr>
        <w:t>implique la liberté</w:t>
      </w:r>
      <w:r w:rsidR="00F20E70" w:rsidRPr="00844541">
        <w:rPr>
          <w:lang w:val="fr-FR"/>
        </w:rPr>
        <w:t xml:space="preserve"> de manifester sa religion</w:t>
      </w:r>
      <w:r w:rsidR="006046B7" w:rsidRPr="00844541">
        <w:rPr>
          <w:lang w:val="fr-FR"/>
        </w:rPr>
        <w:t xml:space="preserve"> et que la</w:t>
      </w:r>
      <w:r w:rsidR="00F20E70" w:rsidRPr="00844541">
        <w:rPr>
          <w:lang w:val="fr-FR"/>
        </w:rPr>
        <w:t xml:space="preserve"> </w:t>
      </w:r>
      <w:r w:rsidR="00FF53D7" w:rsidRPr="00844541">
        <w:rPr>
          <w:lang w:val="fr-FR"/>
        </w:rPr>
        <w:t>pratiqu</w:t>
      </w:r>
      <w:r w:rsidR="006046B7" w:rsidRPr="00844541">
        <w:rPr>
          <w:lang w:val="fr-FR"/>
        </w:rPr>
        <w:t>e de leur culte gréco-catholique</w:t>
      </w:r>
      <w:r w:rsidR="00FF53D7" w:rsidRPr="00844541">
        <w:rPr>
          <w:lang w:val="fr-FR"/>
        </w:rPr>
        <w:t xml:space="preserve"> </w:t>
      </w:r>
      <w:r w:rsidR="00F20E70" w:rsidRPr="00844541">
        <w:rPr>
          <w:lang w:val="fr-FR"/>
        </w:rPr>
        <w:t>dans une église</w:t>
      </w:r>
      <w:r w:rsidR="006046B7" w:rsidRPr="00844541">
        <w:rPr>
          <w:lang w:val="fr-FR"/>
        </w:rPr>
        <w:t xml:space="preserve"> constitue une telle manifestation</w:t>
      </w:r>
      <w:r w:rsidR="00F20E70" w:rsidRPr="00844541">
        <w:rPr>
          <w:lang w:val="fr-FR"/>
        </w:rPr>
        <w:t xml:space="preserve">. </w:t>
      </w:r>
      <w:r w:rsidR="00FF53D7" w:rsidRPr="00844541">
        <w:rPr>
          <w:lang w:val="fr-FR"/>
        </w:rPr>
        <w:t>Ils estiment que l</w:t>
      </w:r>
      <w:r w:rsidR="00F64FC1" w:rsidRPr="00844541">
        <w:rPr>
          <w:lang w:val="fr-FR"/>
        </w:rPr>
        <w:t xml:space="preserve">eur </w:t>
      </w:r>
      <w:r w:rsidR="00FF53D7" w:rsidRPr="00844541">
        <w:rPr>
          <w:lang w:val="fr-FR"/>
        </w:rPr>
        <w:t>utilisation des</w:t>
      </w:r>
      <w:r w:rsidR="00F20E70" w:rsidRPr="00844541">
        <w:rPr>
          <w:lang w:val="fr-FR"/>
        </w:rPr>
        <w:t xml:space="preserve"> locaux d</w:t>
      </w:r>
      <w:r w:rsidR="00844541">
        <w:rPr>
          <w:lang w:val="fr-FR"/>
        </w:rPr>
        <w:t>’</w:t>
      </w:r>
      <w:r w:rsidR="00F20E70" w:rsidRPr="00844541">
        <w:rPr>
          <w:lang w:val="fr-FR"/>
        </w:rPr>
        <w:t xml:space="preserve">une église catholique et </w:t>
      </w:r>
      <w:r w:rsidR="00FF53D7" w:rsidRPr="00844541">
        <w:rPr>
          <w:lang w:val="fr-FR"/>
        </w:rPr>
        <w:t>le paiement dont ils s</w:t>
      </w:r>
      <w:r w:rsidR="00844541">
        <w:rPr>
          <w:lang w:val="fr-FR"/>
        </w:rPr>
        <w:t>’</w:t>
      </w:r>
      <w:r w:rsidR="00FF53D7" w:rsidRPr="00844541">
        <w:rPr>
          <w:lang w:val="fr-FR"/>
        </w:rPr>
        <w:t>acquitteraient</w:t>
      </w:r>
      <w:r w:rsidR="00F20E70" w:rsidRPr="00844541">
        <w:rPr>
          <w:lang w:val="fr-FR"/>
        </w:rPr>
        <w:t xml:space="preserve"> pour cette location ne </w:t>
      </w:r>
      <w:r w:rsidR="00F20E70" w:rsidRPr="00844541">
        <w:rPr>
          <w:lang w:val="fr-FR"/>
        </w:rPr>
        <w:lastRenderedPageBreak/>
        <w:t>doi</w:t>
      </w:r>
      <w:r w:rsidR="00FF53D7" w:rsidRPr="00844541">
        <w:rPr>
          <w:lang w:val="fr-FR"/>
        </w:rPr>
        <w:t>vent</w:t>
      </w:r>
      <w:r w:rsidR="00F20E70" w:rsidRPr="00844541">
        <w:rPr>
          <w:lang w:val="fr-FR"/>
        </w:rPr>
        <w:t xml:space="preserve"> pas décharger l</w:t>
      </w:r>
      <w:r w:rsidR="00844541">
        <w:rPr>
          <w:lang w:val="fr-FR"/>
        </w:rPr>
        <w:t>’</w:t>
      </w:r>
      <w:r w:rsidR="00F20E70" w:rsidRPr="00844541">
        <w:rPr>
          <w:lang w:val="fr-FR"/>
        </w:rPr>
        <w:t xml:space="preserve">État de </w:t>
      </w:r>
      <w:r w:rsidR="00623AF7" w:rsidRPr="00844541">
        <w:rPr>
          <w:lang w:val="fr-FR"/>
        </w:rPr>
        <w:t>l</w:t>
      </w:r>
      <w:r w:rsidR="00844541">
        <w:rPr>
          <w:lang w:val="fr-FR"/>
        </w:rPr>
        <w:t>’</w:t>
      </w:r>
      <w:r w:rsidR="00F20E70" w:rsidRPr="00844541">
        <w:rPr>
          <w:lang w:val="fr-FR"/>
        </w:rPr>
        <w:t xml:space="preserve">obligation </w:t>
      </w:r>
      <w:r w:rsidR="00623AF7" w:rsidRPr="00844541">
        <w:rPr>
          <w:lang w:val="fr-FR"/>
        </w:rPr>
        <w:t xml:space="preserve">qui serait la sienne </w:t>
      </w:r>
      <w:r w:rsidR="00F20E70" w:rsidRPr="00844541">
        <w:rPr>
          <w:lang w:val="fr-FR"/>
        </w:rPr>
        <w:t xml:space="preserve">de </w:t>
      </w:r>
      <w:r w:rsidR="00716C6B" w:rsidRPr="00844541">
        <w:rPr>
          <w:lang w:val="fr-FR"/>
        </w:rPr>
        <w:t xml:space="preserve">leur </w:t>
      </w:r>
      <w:r w:rsidR="00F20E70" w:rsidRPr="00844541">
        <w:rPr>
          <w:lang w:val="fr-FR"/>
        </w:rPr>
        <w:t>permettre de récupérer leur ancien lieu de culte ou de les aider à construire une nouvelle église.</w:t>
      </w:r>
    </w:p>
    <w:p w:rsidR="00B43D08"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128</w:t>
      </w:r>
      <w:r w:rsidRPr="00844541">
        <w:rPr>
          <w:noProof/>
        </w:rPr>
        <w:fldChar w:fldCharType="end"/>
      </w:r>
      <w:r w:rsidR="00F20E70" w:rsidRPr="00844541">
        <w:rPr>
          <w:lang w:val="fr-FR"/>
        </w:rPr>
        <w:t>.  Les requérants soutien</w:t>
      </w:r>
      <w:r w:rsidR="00623AF7" w:rsidRPr="00844541">
        <w:rPr>
          <w:lang w:val="fr-FR"/>
        </w:rPr>
        <w:t>nent en outre</w:t>
      </w:r>
      <w:r w:rsidR="00F20E70" w:rsidRPr="00844541">
        <w:rPr>
          <w:lang w:val="fr-FR"/>
        </w:rPr>
        <w:t xml:space="preserve"> que </w:t>
      </w:r>
      <w:r w:rsidR="00623AF7" w:rsidRPr="00844541">
        <w:rPr>
          <w:lang w:val="fr-FR"/>
        </w:rPr>
        <w:t>l</w:t>
      </w:r>
      <w:r w:rsidR="00844541">
        <w:rPr>
          <w:lang w:val="fr-FR"/>
        </w:rPr>
        <w:t>’</w:t>
      </w:r>
      <w:r w:rsidR="00F20E70" w:rsidRPr="00844541">
        <w:rPr>
          <w:lang w:val="fr-FR"/>
        </w:rPr>
        <w:t xml:space="preserve">ingérence </w:t>
      </w:r>
      <w:r w:rsidR="00623AF7" w:rsidRPr="00844541">
        <w:rPr>
          <w:lang w:val="fr-FR"/>
        </w:rPr>
        <w:t>qu</w:t>
      </w:r>
      <w:r w:rsidR="00844541">
        <w:rPr>
          <w:lang w:val="fr-FR"/>
        </w:rPr>
        <w:t>’</w:t>
      </w:r>
      <w:r w:rsidR="00623AF7" w:rsidRPr="00844541">
        <w:rPr>
          <w:lang w:val="fr-FR"/>
        </w:rPr>
        <w:t xml:space="preserve">ils dénoncent </w:t>
      </w:r>
      <w:r w:rsidR="00F20E70" w:rsidRPr="00844541">
        <w:rPr>
          <w:lang w:val="fr-FR"/>
        </w:rPr>
        <w:t xml:space="preserve">dans leur droit </w:t>
      </w:r>
      <w:r w:rsidR="000D5885" w:rsidRPr="00844541">
        <w:rPr>
          <w:lang w:val="fr-FR"/>
        </w:rPr>
        <w:t>à la liberté</w:t>
      </w:r>
      <w:r w:rsidR="00F20E70" w:rsidRPr="00844541">
        <w:rPr>
          <w:lang w:val="fr-FR"/>
        </w:rPr>
        <w:t xml:space="preserve"> de religion était prévue par l</w:t>
      </w:r>
      <w:r w:rsidR="00844541">
        <w:rPr>
          <w:lang w:val="fr-FR"/>
        </w:rPr>
        <w:t>’</w:t>
      </w:r>
      <w:r w:rsidR="00F20E70" w:rsidRPr="00844541">
        <w:rPr>
          <w:lang w:val="fr-FR"/>
        </w:rPr>
        <w:t>article 3 du décret-loi n</w:t>
      </w:r>
      <w:r w:rsidR="00F20E70" w:rsidRPr="00844541">
        <w:rPr>
          <w:vertAlign w:val="superscript"/>
          <w:lang w:val="fr-FR"/>
        </w:rPr>
        <w:t>o</w:t>
      </w:r>
      <w:r w:rsidR="00F20E70" w:rsidRPr="00844541">
        <w:rPr>
          <w:lang w:val="fr-FR"/>
        </w:rPr>
        <w:t xml:space="preserve"> 126/1990. Toutefois, compte tenu</w:t>
      </w:r>
      <w:r w:rsidR="000D5885" w:rsidRPr="00844541">
        <w:rPr>
          <w:lang w:val="fr-FR"/>
        </w:rPr>
        <w:t xml:space="preserve"> selon eux</w:t>
      </w:r>
      <w:r w:rsidR="00F20E70" w:rsidRPr="00844541">
        <w:rPr>
          <w:lang w:val="fr-FR"/>
        </w:rPr>
        <w:t xml:space="preserve"> de son absence de prévisibilité, cet</w:t>
      </w:r>
      <w:r w:rsidR="000D5885" w:rsidRPr="00844541">
        <w:rPr>
          <w:lang w:val="fr-FR"/>
        </w:rPr>
        <w:t xml:space="preserve">te disposition légale ne répondrait pas </w:t>
      </w:r>
      <w:r w:rsidR="00F20E70" w:rsidRPr="00844541">
        <w:rPr>
          <w:lang w:val="fr-FR"/>
        </w:rPr>
        <w:t xml:space="preserve">aux exigences de qualité imposées par la Convention. </w:t>
      </w:r>
      <w:r w:rsidR="00151B6D" w:rsidRPr="00844541">
        <w:rPr>
          <w:lang w:val="fr-FR"/>
        </w:rPr>
        <w:t xml:space="preserve">Les requérants </w:t>
      </w:r>
      <w:r w:rsidR="00F20E70" w:rsidRPr="00844541">
        <w:rPr>
          <w:lang w:val="fr-FR"/>
        </w:rPr>
        <w:t xml:space="preserve">affirment ensuite que </w:t>
      </w:r>
      <w:r w:rsidR="00623AF7" w:rsidRPr="00844541">
        <w:rPr>
          <w:lang w:val="fr-FR"/>
        </w:rPr>
        <w:t xml:space="preserve">pareille </w:t>
      </w:r>
      <w:r w:rsidR="00F20E70" w:rsidRPr="00844541">
        <w:rPr>
          <w:lang w:val="fr-FR"/>
        </w:rPr>
        <w:t>ingérence n</w:t>
      </w:r>
      <w:r w:rsidR="00844541">
        <w:rPr>
          <w:lang w:val="fr-FR"/>
        </w:rPr>
        <w:t>’</w:t>
      </w:r>
      <w:r w:rsidR="00F20E70" w:rsidRPr="00844541">
        <w:rPr>
          <w:lang w:val="fr-FR"/>
        </w:rPr>
        <w:t xml:space="preserve">était pas nécessaire dans une société démocratique. </w:t>
      </w:r>
      <w:r w:rsidR="00151B6D" w:rsidRPr="00844541">
        <w:rPr>
          <w:lang w:val="fr-FR"/>
        </w:rPr>
        <w:t>Selon eux, l</w:t>
      </w:r>
      <w:r w:rsidR="00F20E70" w:rsidRPr="00844541">
        <w:rPr>
          <w:lang w:val="fr-FR"/>
        </w:rPr>
        <w:t xml:space="preserve">e critère </w:t>
      </w:r>
      <w:r w:rsidR="00151B6D" w:rsidRPr="00844541">
        <w:rPr>
          <w:lang w:val="fr-FR"/>
        </w:rPr>
        <w:t xml:space="preserve">énoncé </w:t>
      </w:r>
      <w:r w:rsidR="00F20E70" w:rsidRPr="00844541">
        <w:rPr>
          <w:lang w:val="fr-FR"/>
        </w:rPr>
        <w:t xml:space="preserve">par la loi spéciale </w:t>
      </w:r>
      <w:r w:rsidR="00151B6D" w:rsidRPr="00844541">
        <w:rPr>
          <w:lang w:val="fr-FR"/>
        </w:rPr>
        <w:t>fait prévaloir</w:t>
      </w:r>
      <w:r w:rsidR="00F20E70" w:rsidRPr="00844541">
        <w:rPr>
          <w:lang w:val="fr-FR"/>
        </w:rPr>
        <w:t xml:space="preserve"> la volonté de la majorité </w:t>
      </w:r>
      <w:r w:rsidR="00151B6D" w:rsidRPr="00844541">
        <w:rPr>
          <w:lang w:val="fr-FR"/>
        </w:rPr>
        <w:t xml:space="preserve">et </w:t>
      </w:r>
      <w:r w:rsidR="00F20E70" w:rsidRPr="00844541">
        <w:rPr>
          <w:lang w:val="fr-FR"/>
        </w:rPr>
        <w:t>n</w:t>
      </w:r>
      <w:r w:rsidR="00844541">
        <w:rPr>
          <w:lang w:val="fr-FR"/>
        </w:rPr>
        <w:t>’</w:t>
      </w:r>
      <w:r w:rsidR="00F20E70" w:rsidRPr="00844541">
        <w:rPr>
          <w:lang w:val="fr-FR"/>
        </w:rPr>
        <w:t xml:space="preserve">est </w:t>
      </w:r>
      <w:r w:rsidR="00151B6D" w:rsidRPr="00844541">
        <w:rPr>
          <w:lang w:val="fr-FR"/>
        </w:rPr>
        <w:t xml:space="preserve">dès lors </w:t>
      </w:r>
      <w:r w:rsidR="00F20E70" w:rsidRPr="00844541">
        <w:rPr>
          <w:lang w:val="fr-FR"/>
        </w:rPr>
        <w:t>pas compatible avec une société démocratique qui d</w:t>
      </w:r>
      <w:r w:rsidR="00151B6D" w:rsidRPr="00844541">
        <w:rPr>
          <w:lang w:val="fr-FR"/>
        </w:rPr>
        <w:t>evrait</w:t>
      </w:r>
      <w:r w:rsidR="00F20E70" w:rsidRPr="00844541">
        <w:rPr>
          <w:lang w:val="fr-FR"/>
        </w:rPr>
        <w:t xml:space="preserve"> promouvoir la tolérance, l</w:t>
      </w:r>
      <w:r w:rsidR="00844541">
        <w:rPr>
          <w:lang w:val="fr-FR"/>
        </w:rPr>
        <w:t>’</w:t>
      </w:r>
      <w:r w:rsidR="00F20E70" w:rsidRPr="00844541">
        <w:rPr>
          <w:lang w:val="fr-FR"/>
        </w:rPr>
        <w:t>acceptation de</w:t>
      </w:r>
      <w:r w:rsidR="00151B6D" w:rsidRPr="00844541">
        <w:rPr>
          <w:lang w:val="fr-FR"/>
        </w:rPr>
        <w:t xml:space="preserve"> toutes les</w:t>
      </w:r>
      <w:r w:rsidR="00F20E70" w:rsidRPr="00844541">
        <w:rPr>
          <w:lang w:val="fr-FR"/>
        </w:rPr>
        <w:t xml:space="preserve"> différences, y compris religieuses et culturelles, et la protection </w:t>
      </w:r>
      <w:r w:rsidR="008D5ECC" w:rsidRPr="00844541">
        <w:rPr>
          <w:lang w:val="fr-FR"/>
        </w:rPr>
        <w:t>d</w:t>
      </w:r>
      <w:r w:rsidR="00F20E70" w:rsidRPr="00844541">
        <w:rPr>
          <w:lang w:val="fr-FR"/>
        </w:rPr>
        <w:t>es minorités.</w:t>
      </w:r>
    </w:p>
    <w:p w:rsidR="00B43D08"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129</w:t>
      </w:r>
      <w:r w:rsidRPr="00844541">
        <w:rPr>
          <w:noProof/>
        </w:rPr>
        <w:fldChar w:fldCharType="end"/>
      </w:r>
      <w:r w:rsidR="00F20E70" w:rsidRPr="00844541">
        <w:rPr>
          <w:lang w:val="fr-FR"/>
        </w:rPr>
        <w:t xml:space="preserve">.  Dans </w:t>
      </w:r>
      <w:r w:rsidR="000859EA" w:rsidRPr="00844541">
        <w:rPr>
          <w:lang w:val="fr-FR"/>
        </w:rPr>
        <w:t>leurs</w:t>
      </w:r>
      <w:r w:rsidR="00F20E70" w:rsidRPr="00844541">
        <w:rPr>
          <w:lang w:val="fr-FR"/>
        </w:rPr>
        <w:t xml:space="preserve"> observations complémentaires, les requérants indiquent qu</w:t>
      </w:r>
      <w:r w:rsidR="00844541">
        <w:rPr>
          <w:lang w:val="fr-FR"/>
        </w:rPr>
        <w:t>’</w:t>
      </w:r>
      <w:r w:rsidR="00F20E70" w:rsidRPr="00844541">
        <w:rPr>
          <w:lang w:val="fr-FR"/>
        </w:rPr>
        <w:t>ils n</w:t>
      </w:r>
      <w:r w:rsidR="00844541">
        <w:rPr>
          <w:lang w:val="fr-FR"/>
        </w:rPr>
        <w:t>’</w:t>
      </w:r>
      <w:r w:rsidR="00F20E70" w:rsidRPr="00844541">
        <w:rPr>
          <w:lang w:val="fr-FR"/>
        </w:rPr>
        <w:t>ont pas obtenu la restitution de l</w:t>
      </w:r>
      <w:r w:rsidR="00844541">
        <w:rPr>
          <w:lang w:val="fr-FR"/>
        </w:rPr>
        <w:t>’</w:t>
      </w:r>
      <w:r w:rsidR="00F20E70" w:rsidRPr="00844541">
        <w:rPr>
          <w:lang w:val="fr-FR"/>
        </w:rPr>
        <w:t>église et qu</w:t>
      </w:r>
      <w:r w:rsidR="00844541">
        <w:rPr>
          <w:lang w:val="fr-FR"/>
        </w:rPr>
        <w:t>’</w:t>
      </w:r>
      <w:r w:rsidR="00F20E70" w:rsidRPr="00844541">
        <w:rPr>
          <w:lang w:val="fr-FR"/>
        </w:rPr>
        <w:t>aucun</w:t>
      </w:r>
      <w:r w:rsidR="000859EA" w:rsidRPr="00844541">
        <w:rPr>
          <w:lang w:val="fr-FR"/>
        </w:rPr>
        <w:t>e</w:t>
      </w:r>
      <w:r w:rsidR="00F20E70" w:rsidRPr="00844541">
        <w:rPr>
          <w:lang w:val="fr-FR"/>
        </w:rPr>
        <w:t xml:space="preserve"> autre aide ne leur a été offerte</w:t>
      </w:r>
      <w:r w:rsidR="000859EA" w:rsidRPr="00844541">
        <w:rPr>
          <w:lang w:val="fr-FR"/>
        </w:rPr>
        <w:t>,</w:t>
      </w:r>
      <w:r w:rsidR="00F20E70" w:rsidRPr="00844541">
        <w:rPr>
          <w:lang w:val="fr-FR"/>
        </w:rPr>
        <w:t xml:space="preserve"> comme </w:t>
      </w:r>
      <w:r w:rsidR="000859EA" w:rsidRPr="00844541">
        <w:rPr>
          <w:lang w:val="fr-FR"/>
        </w:rPr>
        <w:t>cela</w:t>
      </w:r>
      <w:r w:rsidR="00F20E70" w:rsidRPr="00844541">
        <w:rPr>
          <w:lang w:val="fr-FR"/>
        </w:rPr>
        <w:t xml:space="preserve"> </w:t>
      </w:r>
      <w:r w:rsidR="00623AF7" w:rsidRPr="00844541">
        <w:rPr>
          <w:lang w:val="fr-FR"/>
        </w:rPr>
        <w:t>était</w:t>
      </w:r>
      <w:r w:rsidR="00DA298B" w:rsidRPr="00844541">
        <w:rPr>
          <w:lang w:val="fr-FR"/>
        </w:rPr>
        <w:t>,</w:t>
      </w:r>
      <w:r w:rsidR="00623AF7" w:rsidRPr="00844541">
        <w:rPr>
          <w:lang w:val="fr-FR"/>
        </w:rPr>
        <w:t xml:space="preserve"> selon eux</w:t>
      </w:r>
      <w:r w:rsidR="00DA298B" w:rsidRPr="00844541">
        <w:rPr>
          <w:lang w:val="fr-FR"/>
        </w:rPr>
        <w:t>,</w:t>
      </w:r>
      <w:r w:rsidR="00F20E70" w:rsidRPr="00844541">
        <w:rPr>
          <w:lang w:val="fr-FR"/>
        </w:rPr>
        <w:t xml:space="preserve"> prévu par l</w:t>
      </w:r>
      <w:r w:rsidR="00844541">
        <w:rPr>
          <w:lang w:val="fr-FR"/>
        </w:rPr>
        <w:t>’</w:t>
      </w:r>
      <w:r w:rsidR="00F20E70" w:rsidRPr="00844541">
        <w:rPr>
          <w:lang w:val="fr-FR"/>
        </w:rPr>
        <w:t>article 4 du décret-loi n</w:t>
      </w:r>
      <w:r w:rsidR="00F20E70" w:rsidRPr="00844541">
        <w:rPr>
          <w:vertAlign w:val="superscript"/>
          <w:lang w:val="fr-FR"/>
        </w:rPr>
        <w:t>o</w:t>
      </w:r>
      <w:r w:rsidR="00F20E70" w:rsidRPr="00844541">
        <w:rPr>
          <w:lang w:val="fr-FR"/>
        </w:rPr>
        <w:t xml:space="preserve"> 126/1990. Par ailleurs, ils </w:t>
      </w:r>
      <w:r w:rsidR="00623AF7" w:rsidRPr="00844541">
        <w:rPr>
          <w:lang w:val="fr-FR"/>
        </w:rPr>
        <w:t xml:space="preserve">considèrent </w:t>
      </w:r>
      <w:r w:rsidR="00F20E70" w:rsidRPr="00844541">
        <w:rPr>
          <w:lang w:val="fr-FR"/>
        </w:rPr>
        <w:t>que l</w:t>
      </w:r>
      <w:r w:rsidR="00844541">
        <w:rPr>
          <w:lang w:val="fr-FR"/>
        </w:rPr>
        <w:t>’</w:t>
      </w:r>
      <w:r w:rsidR="00F20E70" w:rsidRPr="00844541">
        <w:rPr>
          <w:lang w:val="fr-FR"/>
        </w:rPr>
        <w:t>article 4 susmentionné a un libellé général qui ne vise</w:t>
      </w:r>
      <w:r w:rsidR="00DA298B" w:rsidRPr="00844541">
        <w:rPr>
          <w:lang w:val="fr-FR"/>
        </w:rPr>
        <w:t>rait</w:t>
      </w:r>
      <w:r w:rsidR="00F20E70" w:rsidRPr="00844541">
        <w:rPr>
          <w:lang w:val="fr-FR"/>
        </w:rPr>
        <w:t xml:space="preserve"> pas exclusivement l</w:t>
      </w:r>
      <w:r w:rsidR="00844541">
        <w:rPr>
          <w:lang w:val="fr-FR"/>
        </w:rPr>
        <w:t>’</w:t>
      </w:r>
      <w:r w:rsidR="00F13E0A" w:rsidRPr="00844541">
        <w:rPr>
          <w:lang w:val="fr-FR"/>
        </w:rPr>
        <w:t>É</w:t>
      </w:r>
      <w:r w:rsidR="00F20E70" w:rsidRPr="00844541">
        <w:rPr>
          <w:lang w:val="fr-FR"/>
        </w:rPr>
        <w:t xml:space="preserve">glise gréco-catholique. </w:t>
      </w:r>
      <w:r w:rsidR="00623AF7" w:rsidRPr="00844541">
        <w:rPr>
          <w:lang w:val="fr-FR"/>
        </w:rPr>
        <w:t>Ils précisent enfin qu</w:t>
      </w:r>
      <w:r w:rsidR="00844541">
        <w:rPr>
          <w:lang w:val="fr-FR"/>
        </w:rPr>
        <w:t>’</w:t>
      </w:r>
      <w:r w:rsidR="00623AF7" w:rsidRPr="00844541">
        <w:rPr>
          <w:lang w:val="fr-FR"/>
        </w:rPr>
        <w:t>ils</w:t>
      </w:r>
      <w:r w:rsidR="00F20E70" w:rsidRPr="00844541">
        <w:rPr>
          <w:lang w:val="fr-FR"/>
        </w:rPr>
        <w:t xml:space="preserve"> ne disposent pas</w:t>
      </w:r>
      <w:r w:rsidR="00623AF7" w:rsidRPr="00844541">
        <w:rPr>
          <w:lang w:val="fr-FR"/>
        </w:rPr>
        <w:t>, à ce jour,</w:t>
      </w:r>
      <w:r w:rsidR="00F20E70" w:rsidRPr="00844541">
        <w:rPr>
          <w:lang w:val="fr-FR"/>
        </w:rPr>
        <w:t xml:space="preserve"> d</w:t>
      </w:r>
      <w:r w:rsidR="00844541">
        <w:rPr>
          <w:lang w:val="fr-FR"/>
        </w:rPr>
        <w:t>’</w:t>
      </w:r>
      <w:r w:rsidR="00F20E70" w:rsidRPr="00844541">
        <w:rPr>
          <w:lang w:val="fr-FR"/>
        </w:rPr>
        <w:t xml:space="preserve">une église </w:t>
      </w:r>
      <w:r w:rsidR="00DA298B" w:rsidRPr="00844541">
        <w:rPr>
          <w:lang w:val="fr-FR"/>
        </w:rPr>
        <w:t>réservée à</w:t>
      </w:r>
      <w:r w:rsidR="00F20E70" w:rsidRPr="00844541">
        <w:rPr>
          <w:lang w:val="fr-FR"/>
        </w:rPr>
        <w:t xml:space="preserve"> l</w:t>
      </w:r>
      <w:r w:rsidR="00844541">
        <w:rPr>
          <w:lang w:val="fr-FR"/>
        </w:rPr>
        <w:t>’</w:t>
      </w:r>
      <w:r w:rsidR="00F20E70" w:rsidRPr="00844541">
        <w:rPr>
          <w:lang w:val="fr-FR"/>
        </w:rPr>
        <w:t>exercice d</w:t>
      </w:r>
      <w:r w:rsidR="00DA298B" w:rsidRPr="00844541">
        <w:rPr>
          <w:lang w:val="fr-FR"/>
        </w:rPr>
        <w:t>e leur</w:t>
      </w:r>
      <w:r w:rsidR="00F20E70" w:rsidRPr="00844541">
        <w:rPr>
          <w:lang w:val="fr-FR"/>
        </w:rPr>
        <w:t xml:space="preserve"> culte.</w:t>
      </w:r>
    </w:p>
    <w:p w:rsidR="00B3599A" w:rsidRPr="00844541" w:rsidRDefault="00B3599A" w:rsidP="00844541">
      <w:pPr>
        <w:pStyle w:val="ECHRHeading3"/>
      </w:pPr>
      <w:r w:rsidRPr="00844541">
        <w:t>2.</w:t>
      </w:r>
      <w:r w:rsidR="00C37E41" w:rsidRPr="00844541">
        <w:t>  </w:t>
      </w:r>
      <w:r w:rsidRPr="00844541">
        <w:t>L</w:t>
      </w:r>
      <w:r w:rsidR="00844541">
        <w:t>’</w:t>
      </w:r>
      <w:r w:rsidRPr="00844541">
        <w:t>appréciation de la Cour</w:t>
      </w:r>
    </w:p>
    <w:p w:rsidR="00F20E70"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130</w:t>
      </w:r>
      <w:r w:rsidRPr="00844541">
        <w:rPr>
          <w:noProof/>
        </w:rPr>
        <w:fldChar w:fldCharType="end"/>
      </w:r>
      <w:r w:rsidR="00F20E70" w:rsidRPr="00844541">
        <w:rPr>
          <w:lang w:val="fr-FR"/>
        </w:rPr>
        <w:t xml:space="preserve">.  La Cour </w:t>
      </w:r>
      <w:r w:rsidR="00B05BD4" w:rsidRPr="00844541">
        <w:rPr>
          <w:lang w:val="fr-FR"/>
        </w:rPr>
        <w:t>décide d</w:t>
      </w:r>
      <w:r w:rsidR="00844541">
        <w:rPr>
          <w:lang w:val="fr-FR"/>
        </w:rPr>
        <w:t>’</w:t>
      </w:r>
      <w:r w:rsidR="00DA298B" w:rsidRPr="00844541">
        <w:rPr>
          <w:lang w:val="fr-FR"/>
        </w:rPr>
        <w:t>examiner</w:t>
      </w:r>
      <w:r w:rsidR="00F20E70" w:rsidRPr="00844541">
        <w:rPr>
          <w:lang w:val="fr-FR"/>
        </w:rPr>
        <w:t xml:space="preserve"> ces griefs des requérants</w:t>
      </w:r>
      <w:r w:rsidR="00DA298B" w:rsidRPr="00844541">
        <w:rPr>
          <w:lang w:val="fr-FR"/>
        </w:rPr>
        <w:t xml:space="preserve"> (paragraphe </w:t>
      </w:r>
      <w:r w:rsidR="001031F9" w:rsidRPr="00844541">
        <w:fldChar w:fldCharType="begin"/>
      </w:r>
      <w:r w:rsidR="001031F9" w:rsidRPr="00844541">
        <w:rPr>
          <w:lang w:val="fr-FR"/>
        </w:rPr>
        <w:instrText xml:space="preserve"> REF P124 \h </w:instrText>
      </w:r>
      <w:r w:rsidR="004C1AE4" w:rsidRPr="00844541">
        <w:rPr>
          <w:lang w:val="fr-FR"/>
        </w:rPr>
        <w:instrText xml:space="preserve"> \* MERGEFORMAT </w:instrText>
      </w:r>
      <w:r w:rsidR="001031F9" w:rsidRPr="00844541">
        <w:fldChar w:fldCharType="separate"/>
      </w:r>
      <w:r w:rsidR="00767866">
        <w:rPr>
          <w:noProof/>
          <w:lang w:val="fr-FR"/>
        </w:rPr>
        <w:t>124</w:t>
      </w:r>
      <w:r w:rsidR="001031F9" w:rsidRPr="00844541">
        <w:fldChar w:fldCharType="end"/>
      </w:r>
      <w:r w:rsidR="00DA298B" w:rsidRPr="00844541">
        <w:rPr>
          <w:lang w:val="fr-FR"/>
        </w:rPr>
        <w:t xml:space="preserve"> ci-dessus)</w:t>
      </w:r>
      <w:r w:rsidR="00F20E70" w:rsidRPr="00844541">
        <w:rPr>
          <w:lang w:val="fr-FR"/>
        </w:rPr>
        <w:t>.</w:t>
      </w:r>
    </w:p>
    <w:p w:rsidR="004403C4" w:rsidRPr="00844541" w:rsidRDefault="004403C4" w:rsidP="00844541">
      <w:pPr>
        <w:pStyle w:val="ECHRHeading4"/>
      </w:pPr>
      <w:r w:rsidRPr="00844541">
        <w:t>a)</w:t>
      </w:r>
      <w:r w:rsidR="00C37E41" w:rsidRPr="00844541">
        <w:t>  </w:t>
      </w:r>
      <w:r w:rsidRPr="00844541">
        <w:t>Les principes applicables</w:t>
      </w:r>
    </w:p>
    <w:p w:rsidR="00B43D08"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131</w:t>
      </w:r>
      <w:r w:rsidRPr="00844541">
        <w:rPr>
          <w:noProof/>
        </w:rPr>
        <w:fldChar w:fldCharType="end"/>
      </w:r>
      <w:r w:rsidR="00B679A3" w:rsidRPr="00844541">
        <w:rPr>
          <w:lang w:val="fr-FR"/>
        </w:rPr>
        <w:t>.  </w:t>
      </w:r>
      <w:r w:rsidR="00203A4F" w:rsidRPr="00844541">
        <w:rPr>
          <w:lang w:val="fr-FR"/>
        </w:rPr>
        <w:t xml:space="preserve">La Cour </w:t>
      </w:r>
      <w:r w:rsidR="00623AF7" w:rsidRPr="00844541">
        <w:rPr>
          <w:lang w:val="fr-FR"/>
        </w:rPr>
        <w:t xml:space="preserve">renvoie à </w:t>
      </w:r>
      <w:r w:rsidR="00203A4F" w:rsidRPr="00844541">
        <w:rPr>
          <w:lang w:val="fr-FR"/>
        </w:rPr>
        <w:t>sa jurisprudence constante selon laquelle, telle que la protège l</w:t>
      </w:r>
      <w:r w:rsidR="00844541">
        <w:rPr>
          <w:lang w:val="fr-FR"/>
        </w:rPr>
        <w:t>’</w:t>
      </w:r>
      <w:r w:rsidR="00203A4F" w:rsidRPr="00844541">
        <w:rPr>
          <w:lang w:val="fr-FR"/>
        </w:rPr>
        <w:t>article 9, la liberté de pensée, de conscience et de religion représente l</w:t>
      </w:r>
      <w:r w:rsidR="00844541">
        <w:rPr>
          <w:lang w:val="fr-FR"/>
        </w:rPr>
        <w:t>’</w:t>
      </w:r>
      <w:r w:rsidR="00203A4F" w:rsidRPr="00844541">
        <w:rPr>
          <w:lang w:val="fr-FR"/>
        </w:rPr>
        <w:t>une des assises d</w:t>
      </w:r>
      <w:r w:rsidR="00844541">
        <w:rPr>
          <w:lang w:val="fr-FR"/>
        </w:rPr>
        <w:t>’</w:t>
      </w:r>
      <w:r w:rsidR="00203A4F" w:rsidRPr="00844541">
        <w:rPr>
          <w:lang w:val="fr-FR"/>
        </w:rPr>
        <w:t xml:space="preserve">une « société démocratique » au sens de la Convention. Elle </w:t>
      </w:r>
      <w:r w:rsidR="00623AF7" w:rsidRPr="00844541">
        <w:rPr>
          <w:lang w:val="fr-FR"/>
        </w:rPr>
        <w:t>rappelle qu</w:t>
      </w:r>
      <w:r w:rsidR="00844541">
        <w:rPr>
          <w:lang w:val="fr-FR"/>
        </w:rPr>
        <w:t>’</w:t>
      </w:r>
      <w:r w:rsidR="00623AF7" w:rsidRPr="00844541">
        <w:rPr>
          <w:lang w:val="fr-FR"/>
        </w:rPr>
        <w:t xml:space="preserve">elle </w:t>
      </w:r>
      <w:r w:rsidR="00203A4F" w:rsidRPr="00844541">
        <w:rPr>
          <w:lang w:val="fr-FR"/>
        </w:rPr>
        <w:t>figure, dans sa dimension religieuse, parmi les éléments les plus essentiels de l</w:t>
      </w:r>
      <w:r w:rsidR="00844541">
        <w:rPr>
          <w:lang w:val="fr-FR"/>
        </w:rPr>
        <w:t>’</w:t>
      </w:r>
      <w:r w:rsidR="00203A4F" w:rsidRPr="00844541">
        <w:rPr>
          <w:lang w:val="fr-FR"/>
        </w:rPr>
        <w:t xml:space="preserve">identité des croyants et de leur conception de la vie, mais </w:t>
      </w:r>
      <w:r w:rsidR="00DA298B" w:rsidRPr="00844541">
        <w:rPr>
          <w:lang w:val="fr-FR"/>
        </w:rPr>
        <w:t>qu</w:t>
      </w:r>
      <w:r w:rsidR="00844541">
        <w:rPr>
          <w:lang w:val="fr-FR"/>
        </w:rPr>
        <w:t>’</w:t>
      </w:r>
      <w:r w:rsidR="00203A4F" w:rsidRPr="00844541">
        <w:rPr>
          <w:lang w:val="fr-FR"/>
        </w:rPr>
        <w:t>elle est aussi un bien précieux pour les athées, les agnostiques, les sceptiques ou les indifférents. Il y va du pluralisme – chèrement conquis au cours des siècles – consubstantiel à pareille société (</w:t>
      </w:r>
      <w:r w:rsidR="004614A1" w:rsidRPr="00844541">
        <w:rPr>
          <w:rFonts w:cstheme="minorHAnsi"/>
          <w:i/>
          <w:lang w:val="fr-FR"/>
        </w:rPr>
        <w:t>É</w:t>
      </w:r>
      <w:r w:rsidR="00203A4F" w:rsidRPr="00844541">
        <w:rPr>
          <w:i/>
          <w:lang w:val="fr-FR"/>
        </w:rPr>
        <w:t>glise métropolitaine de Bessarabie et autres c. Moldova</w:t>
      </w:r>
      <w:r w:rsidR="00203A4F" w:rsidRPr="00844541">
        <w:rPr>
          <w:lang w:val="fr-FR"/>
        </w:rPr>
        <w:t>, n</w:t>
      </w:r>
      <w:r w:rsidR="00203A4F" w:rsidRPr="00844541">
        <w:rPr>
          <w:vertAlign w:val="superscript"/>
          <w:lang w:val="fr-FR"/>
        </w:rPr>
        <w:t>o</w:t>
      </w:r>
      <w:r w:rsidR="00203A4F" w:rsidRPr="00844541">
        <w:rPr>
          <w:lang w:val="fr-FR"/>
        </w:rPr>
        <w:t xml:space="preserve"> 45701/99, </w:t>
      </w:r>
      <w:r w:rsidR="00623AF7" w:rsidRPr="00844541">
        <w:rPr>
          <w:lang w:val="fr-FR"/>
        </w:rPr>
        <w:t>§ </w:t>
      </w:r>
      <w:r w:rsidR="00203A4F" w:rsidRPr="00844541">
        <w:rPr>
          <w:lang w:val="fr-FR"/>
        </w:rPr>
        <w:t>114, CEDH 2001</w:t>
      </w:r>
      <w:r w:rsidR="00203A4F" w:rsidRPr="00844541">
        <w:rPr>
          <w:lang w:val="fr-FR"/>
        </w:rPr>
        <w:noBreakHyphen/>
        <w:t>XII).</w:t>
      </w:r>
    </w:p>
    <w:p w:rsidR="00B43D08"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132</w:t>
      </w:r>
      <w:r w:rsidRPr="00844541">
        <w:rPr>
          <w:noProof/>
        </w:rPr>
        <w:fldChar w:fldCharType="end"/>
      </w:r>
      <w:r w:rsidR="00B679A3" w:rsidRPr="00844541">
        <w:rPr>
          <w:lang w:val="fr-FR"/>
        </w:rPr>
        <w:t>.  </w:t>
      </w:r>
      <w:r w:rsidR="00480232" w:rsidRPr="00844541">
        <w:rPr>
          <w:lang w:val="fr-FR"/>
        </w:rPr>
        <w:t>La Cour rappelle également que, s</w:t>
      </w:r>
      <w:r w:rsidR="00203A4F" w:rsidRPr="00844541">
        <w:rPr>
          <w:lang w:val="fr-FR"/>
        </w:rPr>
        <w:t>i la liberté religieuse relève d</w:t>
      </w:r>
      <w:r w:rsidR="00844541">
        <w:rPr>
          <w:lang w:val="fr-FR"/>
        </w:rPr>
        <w:t>’</w:t>
      </w:r>
      <w:r w:rsidR="00203A4F" w:rsidRPr="00844541">
        <w:rPr>
          <w:lang w:val="fr-FR"/>
        </w:rPr>
        <w:t>abord du for intérieur, elle « implique » de surcroît, notamment, celle de « manifester sa religion » individuellement et en privé, ou de manière collective, en public et dans le cercle de ceux dont on partage la foi. Le témoignage, en paroles et en actes, se trouve lié à l</w:t>
      </w:r>
      <w:r w:rsidR="00844541">
        <w:rPr>
          <w:lang w:val="fr-FR"/>
        </w:rPr>
        <w:t>’</w:t>
      </w:r>
      <w:r w:rsidR="00203A4F" w:rsidRPr="00844541">
        <w:rPr>
          <w:lang w:val="fr-FR"/>
        </w:rPr>
        <w:t>existence de convictions religieuses. Cette liberté suppose, entre autres, celle d</w:t>
      </w:r>
      <w:r w:rsidR="00844541">
        <w:rPr>
          <w:lang w:val="fr-FR"/>
        </w:rPr>
        <w:t>’</w:t>
      </w:r>
      <w:r w:rsidR="00203A4F" w:rsidRPr="00844541">
        <w:rPr>
          <w:lang w:val="fr-FR"/>
        </w:rPr>
        <w:t>adhérer ou non à une religion et celle de la pratiquer ou non</w:t>
      </w:r>
      <w:r w:rsidR="00F23CF6" w:rsidRPr="00844541">
        <w:rPr>
          <w:lang w:val="fr-FR"/>
        </w:rPr>
        <w:t xml:space="preserve"> (</w:t>
      </w:r>
      <w:r w:rsidR="00615013" w:rsidRPr="00844541">
        <w:rPr>
          <w:i/>
          <w:lang w:val="fr-FR"/>
        </w:rPr>
        <w:t>Église</w:t>
      </w:r>
      <w:r w:rsidR="00F23CF6" w:rsidRPr="00844541">
        <w:rPr>
          <w:i/>
          <w:lang w:val="fr-FR"/>
        </w:rPr>
        <w:t xml:space="preserve"> métropolitaine de Bessarabie et autres</w:t>
      </w:r>
      <w:r w:rsidR="00F23CF6" w:rsidRPr="00844541">
        <w:rPr>
          <w:lang w:val="fr-FR"/>
        </w:rPr>
        <w:t>,</w:t>
      </w:r>
      <w:r w:rsidR="00F23CF6" w:rsidRPr="00844541">
        <w:rPr>
          <w:i/>
          <w:lang w:val="fr-FR"/>
        </w:rPr>
        <w:t xml:space="preserve"> </w:t>
      </w:r>
      <w:r w:rsidR="00F23CF6" w:rsidRPr="00844541">
        <w:rPr>
          <w:lang w:val="fr-FR"/>
        </w:rPr>
        <w:t>précité, § 114</w:t>
      </w:r>
      <w:r w:rsidR="00203A4F" w:rsidRPr="00844541">
        <w:rPr>
          <w:lang w:val="fr-FR"/>
        </w:rPr>
        <w:t>).</w:t>
      </w:r>
    </w:p>
    <w:p w:rsidR="00B3599A" w:rsidRPr="00844541" w:rsidRDefault="00D01A28" w:rsidP="00844541">
      <w:pPr>
        <w:pStyle w:val="ECHRPara"/>
        <w:rPr>
          <w:lang w:val="fr-FR"/>
        </w:rPr>
      </w:pPr>
      <w:r w:rsidRPr="00844541">
        <w:lastRenderedPageBreak/>
        <w:fldChar w:fldCharType="begin"/>
      </w:r>
      <w:r w:rsidRPr="00844541">
        <w:rPr>
          <w:lang w:val="fr-FR"/>
        </w:rPr>
        <w:instrText xml:space="preserve"> SEQ level0 \*arabic </w:instrText>
      </w:r>
      <w:r w:rsidRPr="00844541">
        <w:fldChar w:fldCharType="separate"/>
      </w:r>
      <w:r w:rsidR="00767866">
        <w:rPr>
          <w:noProof/>
          <w:lang w:val="fr-FR"/>
        </w:rPr>
        <w:t>133</w:t>
      </w:r>
      <w:r w:rsidRPr="00844541">
        <w:rPr>
          <w:noProof/>
        </w:rPr>
        <w:fldChar w:fldCharType="end"/>
      </w:r>
      <w:r w:rsidR="00B679A3" w:rsidRPr="00844541">
        <w:rPr>
          <w:lang w:val="fr-FR"/>
        </w:rPr>
        <w:t>.  </w:t>
      </w:r>
      <w:r w:rsidR="004B5069" w:rsidRPr="00844541">
        <w:rPr>
          <w:lang w:val="fr-FR"/>
        </w:rPr>
        <w:t xml:space="preserve">Par ailleurs, </w:t>
      </w:r>
      <w:r w:rsidR="00480232" w:rsidRPr="00844541">
        <w:rPr>
          <w:lang w:val="fr-FR"/>
        </w:rPr>
        <w:t xml:space="preserve">la Cour </w:t>
      </w:r>
      <w:r w:rsidR="00B05BD4" w:rsidRPr="00844541">
        <w:rPr>
          <w:lang w:val="fr-FR"/>
        </w:rPr>
        <w:t>redit</w:t>
      </w:r>
      <w:r w:rsidR="00480232" w:rsidRPr="00844541">
        <w:rPr>
          <w:lang w:val="fr-FR"/>
        </w:rPr>
        <w:t xml:space="preserve"> que, </w:t>
      </w:r>
      <w:r w:rsidR="004B5069" w:rsidRPr="00844541">
        <w:rPr>
          <w:lang w:val="fr-FR"/>
        </w:rPr>
        <w:t>les communautés religieuses existant traditionnellement sous la forme de structures organisées, l</w:t>
      </w:r>
      <w:r w:rsidR="00844541">
        <w:rPr>
          <w:lang w:val="fr-FR"/>
        </w:rPr>
        <w:t>’</w:t>
      </w:r>
      <w:r w:rsidR="004B5069" w:rsidRPr="00844541">
        <w:rPr>
          <w:lang w:val="fr-FR"/>
        </w:rPr>
        <w:t>article 9 doit s</w:t>
      </w:r>
      <w:r w:rsidR="00844541">
        <w:rPr>
          <w:lang w:val="fr-FR"/>
        </w:rPr>
        <w:t>’</w:t>
      </w:r>
      <w:r w:rsidR="004B5069" w:rsidRPr="00844541">
        <w:rPr>
          <w:lang w:val="fr-FR"/>
        </w:rPr>
        <w:t>interpréter à la lumière de l</w:t>
      </w:r>
      <w:r w:rsidR="00844541">
        <w:rPr>
          <w:lang w:val="fr-FR"/>
        </w:rPr>
        <w:t>’</w:t>
      </w:r>
      <w:r w:rsidR="004B5069" w:rsidRPr="00844541">
        <w:rPr>
          <w:lang w:val="fr-FR"/>
        </w:rPr>
        <w:t>article 11 de la Convention qui protège la vie associative contre toute ingérence injustifiée de l</w:t>
      </w:r>
      <w:r w:rsidR="00844541">
        <w:rPr>
          <w:lang w:val="fr-FR"/>
        </w:rPr>
        <w:t>’</w:t>
      </w:r>
      <w:r w:rsidR="00A4558A" w:rsidRPr="00844541">
        <w:rPr>
          <w:lang w:val="fr-FR"/>
        </w:rPr>
        <w:t>État</w:t>
      </w:r>
      <w:r w:rsidR="004B5069" w:rsidRPr="00844541">
        <w:rPr>
          <w:lang w:val="fr-FR"/>
        </w:rPr>
        <w:t>. Vu sous cet angle, le droit des fidèles à la liberté de religion, qui comprend le droit de manifester sa religion collectivement, suppose que les fidèles puissent s</w:t>
      </w:r>
      <w:r w:rsidR="00844541">
        <w:rPr>
          <w:lang w:val="fr-FR"/>
        </w:rPr>
        <w:t>’</w:t>
      </w:r>
      <w:r w:rsidR="004B5069" w:rsidRPr="00844541">
        <w:rPr>
          <w:lang w:val="fr-FR"/>
        </w:rPr>
        <w:t>associer librement, sans ingérence arbitraire de l</w:t>
      </w:r>
      <w:r w:rsidR="00844541">
        <w:rPr>
          <w:lang w:val="fr-FR"/>
        </w:rPr>
        <w:t>’</w:t>
      </w:r>
      <w:r w:rsidR="00A4558A" w:rsidRPr="00844541">
        <w:rPr>
          <w:lang w:val="fr-FR"/>
        </w:rPr>
        <w:t>État</w:t>
      </w:r>
      <w:r w:rsidR="004B5069" w:rsidRPr="00844541">
        <w:rPr>
          <w:lang w:val="fr-FR"/>
        </w:rPr>
        <w:t>. En effet, l</w:t>
      </w:r>
      <w:r w:rsidR="00844541">
        <w:rPr>
          <w:lang w:val="fr-FR"/>
        </w:rPr>
        <w:t>’</w:t>
      </w:r>
      <w:r w:rsidR="004B5069" w:rsidRPr="00844541">
        <w:rPr>
          <w:lang w:val="fr-FR"/>
        </w:rPr>
        <w:t>autonomie des communautés religieuses est indispensable au pluralisme dans une société démocratique et se trouve donc au cœur même de la protection offerte par l</w:t>
      </w:r>
      <w:r w:rsidR="00844541">
        <w:rPr>
          <w:lang w:val="fr-FR"/>
        </w:rPr>
        <w:t>’</w:t>
      </w:r>
      <w:r w:rsidR="004B5069" w:rsidRPr="00844541">
        <w:rPr>
          <w:lang w:val="fr-FR"/>
        </w:rPr>
        <w:t>article 9. En tout état de cause, la Cour rappelle que le devoir de neutralité et d</w:t>
      </w:r>
      <w:r w:rsidR="00844541">
        <w:rPr>
          <w:lang w:val="fr-FR"/>
        </w:rPr>
        <w:t>’</w:t>
      </w:r>
      <w:r w:rsidR="004B5069" w:rsidRPr="00844541">
        <w:rPr>
          <w:lang w:val="fr-FR"/>
        </w:rPr>
        <w:t>impartialité de l</w:t>
      </w:r>
      <w:r w:rsidR="00844541">
        <w:rPr>
          <w:lang w:val="fr-FR"/>
        </w:rPr>
        <w:t>’</w:t>
      </w:r>
      <w:r w:rsidR="00A4558A" w:rsidRPr="00844541">
        <w:rPr>
          <w:lang w:val="fr-FR"/>
        </w:rPr>
        <w:t>État</w:t>
      </w:r>
      <w:r w:rsidR="004B5069" w:rsidRPr="00844541">
        <w:rPr>
          <w:lang w:val="fr-FR"/>
        </w:rPr>
        <w:t>, tel que défini dans sa jurisprudence, est incompatible avec un quelconque pouvoir d</w:t>
      </w:r>
      <w:r w:rsidR="00844541">
        <w:rPr>
          <w:lang w:val="fr-FR"/>
        </w:rPr>
        <w:t>’</w:t>
      </w:r>
      <w:r w:rsidR="004B5069" w:rsidRPr="00844541">
        <w:rPr>
          <w:lang w:val="fr-FR"/>
        </w:rPr>
        <w:t>appréciation de la part de l</w:t>
      </w:r>
      <w:r w:rsidR="00844541">
        <w:rPr>
          <w:lang w:val="fr-FR"/>
        </w:rPr>
        <w:t>’</w:t>
      </w:r>
      <w:r w:rsidR="00963CE0" w:rsidRPr="00844541">
        <w:rPr>
          <w:lang w:val="fr-FR"/>
        </w:rPr>
        <w:t>État</w:t>
      </w:r>
      <w:r w:rsidR="004B5069" w:rsidRPr="00844541">
        <w:rPr>
          <w:lang w:val="fr-FR"/>
        </w:rPr>
        <w:t xml:space="preserve"> quant à la légitimité des croyances religieuses, et que ce devoir impose à </w:t>
      </w:r>
      <w:r w:rsidR="00480232" w:rsidRPr="00844541">
        <w:rPr>
          <w:lang w:val="fr-FR"/>
        </w:rPr>
        <w:t>l</w:t>
      </w:r>
      <w:r w:rsidR="00844541">
        <w:rPr>
          <w:lang w:val="fr-FR"/>
        </w:rPr>
        <w:t>’</w:t>
      </w:r>
      <w:r w:rsidR="00480232" w:rsidRPr="00844541">
        <w:rPr>
          <w:lang w:val="fr-FR"/>
        </w:rPr>
        <w:t>État</w:t>
      </w:r>
      <w:r w:rsidR="00480232" w:rsidRPr="00844541" w:rsidDel="00480232">
        <w:rPr>
          <w:lang w:val="fr-FR"/>
        </w:rPr>
        <w:t xml:space="preserve"> </w:t>
      </w:r>
      <w:r w:rsidR="004B5069" w:rsidRPr="00844541">
        <w:rPr>
          <w:lang w:val="fr-FR"/>
        </w:rPr>
        <w:t>de s</w:t>
      </w:r>
      <w:r w:rsidR="00844541">
        <w:rPr>
          <w:lang w:val="fr-FR"/>
        </w:rPr>
        <w:t>’</w:t>
      </w:r>
      <w:r w:rsidR="004B5069" w:rsidRPr="00844541">
        <w:rPr>
          <w:lang w:val="fr-FR"/>
        </w:rPr>
        <w:t>assurer que des groupes opposés l</w:t>
      </w:r>
      <w:r w:rsidR="00844541">
        <w:rPr>
          <w:lang w:val="fr-FR"/>
        </w:rPr>
        <w:t>’</w:t>
      </w:r>
      <w:r w:rsidR="004B5069" w:rsidRPr="00844541">
        <w:rPr>
          <w:lang w:val="fr-FR"/>
        </w:rPr>
        <w:t>un à l</w:t>
      </w:r>
      <w:r w:rsidR="00844541">
        <w:rPr>
          <w:lang w:val="fr-FR"/>
        </w:rPr>
        <w:t>’</w:t>
      </w:r>
      <w:r w:rsidR="004B5069" w:rsidRPr="00844541">
        <w:rPr>
          <w:lang w:val="fr-FR"/>
        </w:rPr>
        <w:t>autre, fussent-ils issus d</w:t>
      </w:r>
      <w:r w:rsidR="00844541">
        <w:rPr>
          <w:lang w:val="fr-FR"/>
        </w:rPr>
        <w:t>’</w:t>
      </w:r>
      <w:r w:rsidR="004B5069" w:rsidRPr="00844541">
        <w:rPr>
          <w:lang w:val="fr-FR"/>
        </w:rPr>
        <w:t>un même groupe, se tolèrent</w:t>
      </w:r>
      <w:r w:rsidR="00A4558A" w:rsidRPr="00844541">
        <w:rPr>
          <w:lang w:val="fr-FR"/>
        </w:rPr>
        <w:t xml:space="preserve"> (</w:t>
      </w:r>
      <w:r w:rsidR="00A4558A" w:rsidRPr="00844541">
        <w:rPr>
          <w:i/>
          <w:lang w:val="fr-FR"/>
        </w:rPr>
        <w:t>Juma Mosque Congregation et autres c</w:t>
      </w:r>
      <w:r w:rsidR="00623AF7" w:rsidRPr="00844541">
        <w:rPr>
          <w:i/>
          <w:lang w:val="fr-FR"/>
        </w:rPr>
        <w:t>. </w:t>
      </w:r>
      <w:r w:rsidR="00A4558A" w:rsidRPr="00844541">
        <w:rPr>
          <w:i/>
          <w:lang w:val="fr-FR"/>
        </w:rPr>
        <w:t>Azerbaïdjan</w:t>
      </w:r>
      <w:r w:rsidR="00A4558A" w:rsidRPr="00844541">
        <w:rPr>
          <w:lang w:val="fr-FR"/>
        </w:rPr>
        <w:t xml:space="preserve"> (déc.), n</w:t>
      </w:r>
      <w:r w:rsidR="00A4558A" w:rsidRPr="00844541">
        <w:rPr>
          <w:vertAlign w:val="superscript"/>
          <w:lang w:val="fr-FR"/>
        </w:rPr>
        <w:t>o</w:t>
      </w:r>
      <w:r w:rsidR="00A4558A" w:rsidRPr="00844541">
        <w:rPr>
          <w:lang w:val="fr-FR"/>
        </w:rPr>
        <w:t> 15405/04, §58, 8 janvier 2013)</w:t>
      </w:r>
      <w:r w:rsidR="004B5069" w:rsidRPr="00844541">
        <w:rPr>
          <w:lang w:val="fr-FR"/>
        </w:rPr>
        <w:t>.</w:t>
      </w:r>
    </w:p>
    <w:p w:rsidR="004403C4" w:rsidRPr="00844541" w:rsidRDefault="004403C4" w:rsidP="00844541">
      <w:pPr>
        <w:pStyle w:val="ECHRHeading4"/>
      </w:pPr>
      <w:r w:rsidRPr="00844541">
        <w:t>b)</w:t>
      </w:r>
      <w:r w:rsidR="00C37E41" w:rsidRPr="00844541">
        <w:t>  </w:t>
      </w:r>
      <w:r w:rsidRPr="00844541">
        <w:t>L</w:t>
      </w:r>
      <w:r w:rsidR="00844541">
        <w:t>’</w:t>
      </w:r>
      <w:r w:rsidRPr="00844541">
        <w:t>application des principes en l</w:t>
      </w:r>
      <w:r w:rsidR="00844541">
        <w:t>’</w:t>
      </w:r>
      <w:r w:rsidRPr="00844541">
        <w:t>espèce</w:t>
      </w:r>
    </w:p>
    <w:p w:rsidR="002B09CB"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134</w:t>
      </w:r>
      <w:r w:rsidRPr="00844541">
        <w:rPr>
          <w:noProof/>
        </w:rPr>
        <w:fldChar w:fldCharType="end"/>
      </w:r>
      <w:r w:rsidR="00B679A3" w:rsidRPr="00844541">
        <w:rPr>
          <w:lang w:val="fr-FR"/>
        </w:rPr>
        <w:t>.  </w:t>
      </w:r>
      <w:r w:rsidR="002B09CB" w:rsidRPr="00844541">
        <w:rPr>
          <w:lang w:val="fr-FR"/>
        </w:rPr>
        <w:t>Se tournant vers les circonstances de l</w:t>
      </w:r>
      <w:r w:rsidR="00844541">
        <w:rPr>
          <w:lang w:val="fr-FR"/>
        </w:rPr>
        <w:t>’</w:t>
      </w:r>
      <w:r w:rsidR="002B09CB" w:rsidRPr="00844541">
        <w:rPr>
          <w:lang w:val="fr-FR"/>
        </w:rPr>
        <w:t>espèce, la Cour constate que les requérants se plai</w:t>
      </w:r>
      <w:r w:rsidR="0043358C" w:rsidRPr="00844541">
        <w:rPr>
          <w:lang w:val="fr-FR"/>
        </w:rPr>
        <w:t>gnent</w:t>
      </w:r>
      <w:r w:rsidR="002B09CB" w:rsidRPr="00844541">
        <w:rPr>
          <w:lang w:val="fr-FR"/>
        </w:rPr>
        <w:t xml:space="preserve"> du refus des juridictions internes de reconnaître le</w:t>
      </w:r>
      <w:r w:rsidR="0043358C" w:rsidRPr="00844541">
        <w:rPr>
          <w:lang w:val="fr-FR"/>
        </w:rPr>
        <w:t>ur</w:t>
      </w:r>
      <w:r w:rsidR="002B09CB" w:rsidRPr="00844541">
        <w:rPr>
          <w:lang w:val="fr-FR"/>
        </w:rPr>
        <w:t xml:space="preserve"> droit de propriété sur l</w:t>
      </w:r>
      <w:r w:rsidR="00844541">
        <w:rPr>
          <w:lang w:val="fr-FR"/>
        </w:rPr>
        <w:t>’</w:t>
      </w:r>
      <w:r w:rsidR="002B09CB" w:rsidRPr="00844541">
        <w:rPr>
          <w:lang w:val="fr-FR"/>
        </w:rPr>
        <w:t>église en litige</w:t>
      </w:r>
      <w:r w:rsidR="0043358C" w:rsidRPr="00844541">
        <w:rPr>
          <w:lang w:val="fr-FR"/>
        </w:rPr>
        <w:t>.</w:t>
      </w:r>
      <w:r w:rsidR="002B09CB" w:rsidRPr="00844541">
        <w:rPr>
          <w:lang w:val="fr-FR"/>
        </w:rPr>
        <w:t xml:space="preserve"> Dès lors, la Cour doit examiner si </w:t>
      </w:r>
      <w:r w:rsidR="00A26414" w:rsidRPr="00844541">
        <w:rPr>
          <w:lang w:val="fr-FR"/>
        </w:rPr>
        <w:t>c</w:t>
      </w:r>
      <w:r w:rsidR="002B09CB" w:rsidRPr="00844541">
        <w:rPr>
          <w:lang w:val="fr-FR"/>
        </w:rPr>
        <w:t xml:space="preserve">e refus constitue en soi une </w:t>
      </w:r>
      <w:r w:rsidR="007B73D7" w:rsidRPr="00844541">
        <w:rPr>
          <w:lang w:val="fr-FR"/>
        </w:rPr>
        <w:t>ingérence</w:t>
      </w:r>
      <w:r w:rsidR="002B09CB" w:rsidRPr="00844541">
        <w:rPr>
          <w:lang w:val="fr-FR"/>
        </w:rPr>
        <w:t xml:space="preserve"> dans l</w:t>
      </w:r>
      <w:r w:rsidR="00844541">
        <w:rPr>
          <w:lang w:val="fr-FR"/>
        </w:rPr>
        <w:t>’</w:t>
      </w:r>
      <w:r w:rsidR="002B09CB" w:rsidRPr="00844541">
        <w:rPr>
          <w:lang w:val="fr-FR"/>
        </w:rPr>
        <w:t xml:space="preserve">exercice </w:t>
      </w:r>
      <w:r w:rsidR="00D8552C" w:rsidRPr="00844541">
        <w:rPr>
          <w:lang w:val="fr-FR"/>
        </w:rPr>
        <w:t xml:space="preserve">par les intéressés </w:t>
      </w:r>
      <w:r w:rsidR="002B09CB" w:rsidRPr="00844541">
        <w:rPr>
          <w:lang w:val="fr-FR"/>
        </w:rPr>
        <w:t>de leur droit à la liberté de religion garanti par l</w:t>
      </w:r>
      <w:r w:rsidR="00844541">
        <w:rPr>
          <w:lang w:val="fr-FR"/>
        </w:rPr>
        <w:t>’</w:t>
      </w:r>
      <w:r w:rsidR="002B09CB" w:rsidRPr="00844541">
        <w:rPr>
          <w:lang w:val="fr-FR"/>
        </w:rPr>
        <w:t>article 9 combiné avec l</w:t>
      </w:r>
      <w:r w:rsidR="00844541">
        <w:rPr>
          <w:lang w:val="fr-FR"/>
        </w:rPr>
        <w:t>’</w:t>
      </w:r>
      <w:r w:rsidR="002B09CB" w:rsidRPr="00844541">
        <w:rPr>
          <w:lang w:val="fr-FR"/>
        </w:rPr>
        <w:t>article 14 de la Convention.</w:t>
      </w:r>
    </w:p>
    <w:p w:rsidR="00B43D08"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135</w:t>
      </w:r>
      <w:r w:rsidRPr="00844541">
        <w:rPr>
          <w:noProof/>
        </w:rPr>
        <w:fldChar w:fldCharType="end"/>
      </w:r>
      <w:r w:rsidR="00B679A3" w:rsidRPr="00844541">
        <w:rPr>
          <w:lang w:val="fr-FR"/>
        </w:rPr>
        <w:t>.  </w:t>
      </w:r>
      <w:r w:rsidR="002B09CB" w:rsidRPr="00844541">
        <w:rPr>
          <w:lang w:val="fr-FR"/>
        </w:rPr>
        <w:t>À cet égard, la Cour relève que le décret-loi n</w:t>
      </w:r>
      <w:r w:rsidR="002B09CB" w:rsidRPr="00844541">
        <w:rPr>
          <w:vertAlign w:val="superscript"/>
          <w:lang w:val="fr-FR"/>
        </w:rPr>
        <w:t>o</w:t>
      </w:r>
      <w:r w:rsidR="002B09CB" w:rsidRPr="00844541">
        <w:rPr>
          <w:lang w:val="fr-FR"/>
        </w:rPr>
        <w:t xml:space="preserve"> 126/1990 a reconnu officiellement le culte gréco-</w:t>
      </w:r>
      <w:r w:rsidR="007B73D7" w:rsidRPr="00844541">
        <w:rPr>
          <w:lang w:val="fr-FR"/>
        </w:rPr>
        <w:t>catholique</w:t>
      </w:r>
      <w:r w:rsidR="002B09CB" w:rsidRPr="00844541">
        <w:rPr>
          <w:lang w:val="fr-FR"/>
        </w:rPr>
        <w:t xml:space="preserve"> en Roumanie. Toutefois, aucune disposition légale n</w:t>
      </w:r>
      <w:r w:rsidR="00844541">
        <w:rPr>
          <w:lang w:val="fr-FR"/>
        </w:rPr>
        <w:t>’</w:t>
      </w:r>
      <w:r w:rsidR="002B09CB" w:rsidRPr="00844541">
        <w:rPr>
          <w:lang w:val="fr-FR"/>
        </w:rPr>
        <w:t>a ordonné la restitution automatique des lieux de culte ayant apparte</w:t>
      </w:r>
      <w:r w:rsidR="007B73D7" w:rsidRPr="00844541">
        <w:rPr>
          <w:lang w:val="fr-FR"/>
        </w:rPr>
        <w:t>nu</w:t>
      </w:r>
      <w:r w:rsidR="002B09CB" w:rsidRPr="00844541">
        <w:rPr>
          <w:lang w:val="fr-FR"/>
        </w:rPr>
        <w:t xml:space="preserve"> avant 1948 à </w:t>
      </w:r>
      <w:r w:rsidR="002C2D83" w:rsidRPr="00844541">
        <w:rPr>
          <w:lang w:val="fr-FR"/>
        </w:rPr>
        <w:t xml:space="preserve">cette </w:t>
      </w:r>
      <w:r w:rsidR="002C2D83" w:rsidRPr="00844541">
        <w:rPr>
          <w:rFonts w:cstheme="minorHAnsi"/>
          <w:lang w:val="fr-FR"/>
        </w:rPr>
        <w:t>É</w:t>
      </w:r>
      <w:r w:rsidR="002C2D83" w:rsidRPr="00844541">
        <w:rPr>
          <w:lang w:val="fr-FR"/>
        </w:rPr>
        <w:t xml:space="preserve">glise </w:t>
      </w:r>
      <w:r w:rsidR="002B09CB" w:rsidRPr="00844541">
        <w:rPr>
          <w:lang w:val="fr-FR"/>
        </w:rPr>
        <w:t xml:space="preserve">et </w:t>
      </w:r>
      <w:r w:rsidR="00480232" w:rsidRPr="00844541">
        <w:rPr>
          <w:lang w:val="fr-FR"/>
        </w:rPr>
        <w:t xml:space="preserve">ayant </w:t>
      </w:r>
      <w:r w:rsidR="00A54DDD" w:rsidRPr="00844541">
        <w:rPr>
          <w:lang w:val="fr-FR"/>
        </w:rPr>
        <w:t xml:space="preserve">ensuite </w:t>
      </w:r>
      <w:r w:rsidR="00480232" w:rsidRPr="00844541">
        <w:rPr>
          <w:lang w:val="fr-FR"/>
        </w:rPr>
        <w:t xml:space="preserve">été inscrits </w:t>
      </w:r>
      <w:r w:rsidR="002B09CB" w:rsidRPr="00844541">
        <w:rPr>
          <w:lang w:val="fr-FR"/>
        </w:rPr>
        <w:t>dans le patrimoine de l</w:t>
      </w:r>
      <w:r w:rsidR="00844541">
        <w:rPr>
          <w:lang w:val="fr-FR"/>
        </w:rPr>
        <w:t>’</w:t>
      </w:r>
      <w:r w:rsidR="002B09CB" w:rsidRPr="00844541">
        <w:rPr>
          <w:lang w:val="fr-FR"/>
        </w:rPr>
        <w:t>Église orthodoxe.</w:t>
      </w:r>
    </w:p>
    <w:p w:rsidR="00B43D08"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136</w:t>
      </w:r>
      <w:r w:rsidRPr="00844541">
        <w:rPr>
          <w:noProof/>
        </w:rPr>
        <w:fldChar w:fldCharType="end"/>
      </w:r>
      <w:r w:rsidR="00B679A3" w:rsidRPr="00844541">
        <w:rPr>
          <w:lang w:val="fr-FR"/>
        </w:rPr>
        <w:t>.  </w:t>
      </w:r>
      <w:r w:rsidR="002B09CB" w:rsidRPr="00844541">
        <w:rPr>
          <w:lang w:val="fr-FR"/>
        </w:rPr>
        <w:t xml:space="preserve">La Cour </w:t>
      </w:r>
      <w:r w:rsidR="008E5DEE" w:rsidRPr="00844541">
        <w:rPr>
          <w:lang w:val="fr-FR"/>
        </w:rPr>
        <w:t>réitère</w:t>
      </w:r>
      <w:r w:rsidR="002B09CB" w:rsidRPr="00844541">
        <w:rPr>
          <w:lang w:val="fr-FR"/>
        </w:rPr>
        <w:t xml:space="preserve"> que l</w:t>
      </w:r>
      <w:r w:rsidR="00844541">
        <w:rPr>
          <w:lang w:val="fr-FR"/>
        </w:rPr>
        <w:t>’</w:t>
      </w:r>
      <w:r w:rsidR="002B09CB" w:rsidRPr="00844541">
        <w:rPr>
          <w:lang w:val="fr-FR"/>
        </w:rPr>
        <w:t xml:space="preserve">on ne saurait tirer de la Convention </w:t>
      </w:r>
      <w:r w:rsidR="004E58D9" w:rsidRPr="00844541">
        <w:rPr>
          <w:lang w:val="fr-FR"/>
        </w:rPr>
        <w:t xml:space="preserve">un </w:t>
      </w:r>
      <w:r w:rsidR="002B09CB" w:rsidRPr="00844541">
        <w:rPr>
          <w:lang w:val="fr-FR"/>
        </w:rPr>
        <w:t xml:space="preserve">droit </w:t>
      </w:r>
      <w:r w:rsidR="004E58D9" w:rsidRPr="00844541">
        <w:rPr>
          <w:lang w:val="fr-FR"/>
        </w:rPr>
        <w:t xml:space="preserve">pour </w:t>
      </w:r>
      <w:r w:rsidR="002B09CB" w:rsidRPr="00844541">
        <w:rPr>
          <w:lang w:val="fr-FR"/>
        </w:rPr>
        <w:t xml:space="preserve">une communauté religieuse </w:t>
      </w:r>
      <w:r w:rsidR="004E58D9" w:rsidRPr="00844541">
        <w:rPr>
          <w:lang w:val="fr-FR"/>
        </w:rPr>
        <w:t xml:space="preserve">de se voir garantir </w:t>
      </w:r>
      <w:r w:rsidR="002B09CB" w:rsidRPr="00844541">
        <w:rPr>
          <w:lang w:val="fr-FR"/>
        </w:rPr>
        <w:t xml:space="preserve">un lieu de culte </w:t>
      </w:r>
      <w:r w:rsidR="004E58D9" w:rsidRPr="00844541">
        <w:rPr>
          <w:lang w:val="fr-FR"/>
        </w:rPr>
        <w:t xml:space="preserve">par les </w:t>
      </w:r>
      <w:r w:rsidR="002B09CB" w:rsidRPr="00844541">
        <w:rPr>
          <w:lang w:val="fr-FR"/>
        </w:rPr>
        <w:t>autorités publiques (</w:t>
      </w:r>
      <w:r w:rsidR="002B09CB" w:rsidRPr="00844541">
        <w:rPr>
          <w:i/>
          <w:lang w:val="fr-FR"/>
        </w:rPr>
        <w:t>Griechische Kirchengemeinde Munchen et Bayern E.V. c. Allemagne</w:t>
      </w:r>
      <w:r w:rsidR="002B09CB" w:rsidRPr="00844541">
        <w:rPr>
          <w:lang w:val="fr-FR"/>
        </w:rPr>
        <w:t xml:space="preserve"> (déc.), n</w:t>
      </w:r>
      <w:r w:rsidR="002B09CB" w:rsidRPr="00844541">
        <w:rPr>
          <w:vertAlign w:val="superscript"/>
          <w:lang w:val="fr-FR"/>
        </w:rPr>
        <w:t>o</w:t>
      </w:r>
      <w:r w:rsidR="002B09CB" w:rsidRPr="00844541">
        <w:rPr>
          <w:lang w:val="fr-FR"/>
        </w:rPr>
        <w:t xml:space="preserve"> 52336/99, 18 septembre 2007). </w:t>
      </w:r>
      <w:r w:rsidR="00587B95" w:rsidRPr="00844541">
        <w:rPr>
          <w:lang w:val="fr-FR"/>
        </w:rPr>
        <w:t>En l</w:t>
      </w:r>
      <w:r w:rsidR="00844541">
        <w:rPr>
          <w:lang w:val="fr-FR"/>
        </w:rPr>
        <w:t>’</w:t>
      </w:r>
      <w:r w:rsidR="00587B95" w:rsidRPr="00844541">
        <w:rPr>
          <w:lang w:val="fr-FR"/>
        </w:rPr>
        <w:t>espèce,</w:t>
      </w:r>
      <w:r w:rsidR="002C2D83" w:rsidRPr="00844541">
        <w:rPr>
          <w:lang w:val="fr-FR"/>
        </w:rPr>
        <w:t xml:space="preserve"> l</w:t>
      </w:r>
      <w:r w:rsidR="00E74ABD" w:rsidRPr="00844541">
        <w:rPr>
          <w:lang w:val="fr-FR"/>
        </w:rPr>
        <w:t xml:space="preserve">e refus </w:t>
      </w:r>
      <w:r w:rsidR="002C2D83" w:rsidRPr="00844541">
        <w:rPr>
          <w:lang w:val="fr-FR"/>
        </w:rPr>
        <w:t xml:space="preserve">les juridictions internes de reconnaître le droit de propriété des intéressés sur une église </w:t>
      </w:r>
      <w:r w:rsidR="00E74ABD" w:rsidRPr="00844541">
        <w:rPr>
          <w:lang w:val="fr-FR"/>
        </w:rPr>
        <w:t>n</w:t>
      </w:r>
      <w:r w:rsidR="00844541">
        <w:rPr>
          <w:lang w:val="fr-FR"/>
        </w:rPr>
        <w:t>’</w:t>
      </w:r>
      <w:r w:rsidR="00E74ABD" w:rsidRPr="00844541">
        <w:rPr>
          <w:lang w:val="fr-FR"/>
        </w:rPr>
        <w:t xml:space="preserve">a </w:t>
      </w:r>
      <w:r w:rsidR="00A54DDD" w:rsidRPr="00844541">
        <w:rPr>
          <w:lang w:val="fr-FR"/>
        </w:rPr>
        <w:t xml:space="preserve">pas </w:t>
      </w:r>
      <w:r w:rsidR="00841209" w:rsidRPr="00844541">
        <w:rPr>
          <w:lang w:val="fr-FR"/>
        </w:rPr>
        <w:t>fait obstacle</w:t>
      </w:r>
      <w:r w:rsidR="00E74ABD" w:rsidRPr="00844541">
        <w:rPr>
          <w:lang w:val="fr-FR"/>
        </w:rPr>
        <w:t xml:space="preserve"> </w:t>
      </w:r>
      <w:r w:rsidR="00D0252C" w:rsidRPr="00844541">
        <w:rPr>
          <w:lang w:val="fr-FR"/>
        </w:rPr>
        <w:t>au fonctionnement des requérant</w:t>
      </w:r>
      <w:r w:rsidR="00E74ABD" w:rsidRPr="00844541">
        <w:rPr>
          <w:lang w:val="fr-FR"/>
        </w:rPr>
        <w:t>s et n</w:t>
      </w:r>
      <w:r w:rsidR="00844541">
        <w:rPr>
          <w:lang w:val="fr-FR"/>
        </w:rPr>
        <w:t>’</w:t>
      </w:r>
      <w:r w:rsidR="00E74ABD" w:rsidRPr="00844541">
        <w:rPr>
          <w:lang w:val="fr-FR"/>
        </w:rPr>
        <w:t xml:space="preserve">a pas </w:t>
      </w:r>
      <w:r w:rsidR="002C2D83" w:rsidRPr="00844541">
        <w:rPr>
          <w:lang w:val="fr-FR"/>
        </w:rPr>
        <w:t>restreint</w:t>
      </w:r>
      <w:r w:rsidR="00E74ABD" w:rsidRPr="00844541">
        <w:rPr>
          <w:lang w:val="fr-FR"/>
        </w:rPr>
        <w:t xml:space="preserve"> leur droit de construire </w:t>
      </w:r>
      <w:r w:rsidR="00A54DDD" w:rsidRPr="00844541">
        <w:rPr>
          <w:lang w:val="fr-FR"/>
        </w:rPr>
        <w:t xml:space="preserve">un lieu de culte </w:t>
      </w:r>
      <w:r w:rsidR="00E74ABD" w:rsidRPr="00844541">
        <w:rPr>
          <w:lang w:val="fr-FR"/>
        </w:rPr>
        <w:t>dans les conditions prévues par la loi.</w:t>
      </w:r>
    </w:p>
    <w:p w:rsidR="00B43D08"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137</w:t>
      </w:r>
      <w:r w:rsidRPr="00844541">
        <w:rPr>
          <w:noProof/>
        </w:rPr>
        <w:fldChar w:fldCharType="end"/>
      </w:r>
      <w:r w:rsidR="00B679A3" w:rsidRPr="00844541">
        <w:rPr>
          <w:lang w:val="fr-FR"/>
        </w:rPr>
        <w:t>.  </w:t>
      </w:r>
      <w:r w:rsidR="006050B5" w:rsidRPr="00844541">
        <w:rPr>
          <w:lang w:val="fr-FR"/>
        </w:rPr>
        <w:t xml:space="preserve">La Cour </w:t>
      </w:r>
      <w:r w:rsidR="00913885" w:rsidRPr="00844541">
        <w:rPr>
          <w:lang w:val="fr-FR"/>
        </w:rPr>
        <w:t xml:space="preserve">relève </w:t>
      </w:r>
      <w:r w:rsidR="006050B5" w:rsidRPr="00844541">
        <w:rPr>
          <w:lang w:val="fr-FR"/>
        </w:rPr>
        <w:t xml:space="preserve">ensuite que la </w:t>
      </w:r>
      <w:r w:rsidR="007A4CC1" w:rsidRPr="00844541">
        <w:rPr>
          <w:lang w:val="fr-FR"/>
        </w:rPr>
        <w:t>H</w:t>
      </w:r>
      <w:r w:rsidR="006050B5" w:rsidRPr="00844541">
        <w:rPr>
          <w:lang w:val="fr-FR"/>
        </w:rPr>
        <w:t xml:space="preserve">aute Cour a </w:t>
      </w:r>
      <w:r w:rsidR="00AA23F9" w:rsidRPr="00844541">
        <w:rPr>
          <w:lang w:val="fr-FR"/>
        </w:rPr>
        <w:t>répondu</w:t>
      </w:r>
      <w:r w:rsidR="006050B5" w:rsidRPr="00844541">
        <w:rPr>
          <w:lang w:val="fr-FR"/>
        </w:rPr>
        <w:t xml:space="preserve"> aux </w:t>
      </w:r>
      <w:r w:rsidR="00913885" w:rsidRPr="00844541">
        <w:rPr>
          <w:lang w:val="fr-FR"/>
        </w:rPr>
        <w:t xml:space="preserve">allégations </w:t>
      </w:r>
      <w:r w:rsidR="006050B5" w:rsidRPr="00844541">
        <w:rPr>
          <w:lang w:val="fr-FR"/>
        </w:rPr>
        <w:t xml:space="preserve">des requérants </w:t>
      </w:r>
      <w:r w:rsidR="00913885" w:rsidRPr="00844541">
        <w:rPr>
          <w:lang w:val="fr-FR"/>
        </w:rPr>
        <w:t>relatives</w:t>
      </w:r>
      <w:r w:rsidR="006050B5" w:rsidRPr="00844541">
        <w:rPr>
          <w:lang w:val="fr-FR"/>
        </w:rPr>
        <w:t xml:space="preserve"> au respect de leur droit à la liberté de religion. </w:t>
      </w:r>
      <w:r w:rsidR="00DE5458" w:rsidRPr="00844541">
        <w:rPr>
          <w:lang w:val="fr-FR"/>
        </w:rPr>
        <w:t>Aux yeux de la Cour, compte tenu du contexte social et historique de l</w:t>
      </w:r>
      <w:r w:rsidR="00844541">
        <w:rPr>
          <w:lang w:val="fr-FR"/>
        </w:rPr>
        <w:t>’</w:t>
      </w:r>
      <w:r w:rsidR="00DE5458" w:rsidRPr="00844541">
        <w:rPr>
          <w:lang w:val="fr-FR"/>
        </w:rPr>
        <w:t>affaire</w:t>
      </w:r>
      <w:r w:rsidR="00B64F65" w:rsidRPr="00844541">
        <w:rPr>
          <w:lang w:val="fr-FR"/>
        </w:rPr>
        <w:t>,</w:t>
      </w:r>
      <w:r w:rsidR="00E37E43" w:rsidRPr="00844541">
        <w:rPr>
          <w:lang w:val="fr-FR"/>
        </w:rPr>
        <w:t xml:space="preserve"> ainsi que de ses conclusions ci-dessus quant au droit d</w:t>
      </w:r>
      <w:r w:rsidR="00844541">
        <w:rPr>
          <w:lang w:val="fr-FR"/>
        </w:rPr>
        <w:t>’</w:t>
      </w:r>
      <w:r w:rsidR="00E37E43" w:rsidRPr="00844541">
        <w:rPr>
          <w:lang w:val="fr-FR"/>
        </w:rPr>
        <w:t xml:space="preserve">accès </w:t>
      </w:r>
      <w:r w:rsidR="00913885" w:rsidRPr="00844541">
        <w:rPr>
          <w:lang w:val="fr-FR"/>
        </w:rPr>
        <w:t xml:space="preserve">des requérants </w:t>
      </w:r>
      <w:r w:rsidR="00E37E43" w:rsidRPr="00844541">
        <w:rPr>
          <w:lang w:val="fr-FR"/>
        </w:rPr>
        <w:t xml:space="preserve">à un tribunal, </w:t>
      </w:r>
      <w:r w:rsidR="00DE5458" w:rsidRPr="00844541">
        <w:rPr>
          <w:lang w:val="fr-FR"/>
        </w:rPr>
        <w:t>les arguments utilisés par la plus haute juridiction interne sont compréhensibles et ne prête</w:t>
      </w:r>
      <w:r w:rsidR="00F97635" w:rsidRPr="00844541">
        <w:rPr>
          <w:lang w:val="fr-FR"/>
        </w:rPr>
        <w:t>nt</w:t>
      </w:r>
      <w:r w:rsidR="00DE5458" w:rsidRPr="00844541">
        <w:rPr>
          <w:lang w:val="fr-FR"/>
        </w:rPr>
        <w:t xml:space="preserve"> pas à la critique au regard de la Convention.</w:t>
      </w:r>
    </w:p>
    <w:p w:rsidR="0089163B" w:rsidRPr="00844541" w:rsidRDefault="00D01A28" w:rsidP="00844541">
      <w:pPr>
        <w:pStyle w:val="ECHRPara"/>
        <w:rPr>
          <w:lang w:val="fr-FR"/>
        </w:rPr>
      </w:pPr>
      <w:r w:rsidRPr="00844541">
        <w:lastRenderedPageBreak/>
        <w:fldChar w:fldCharType="begin"/>
      </w:r>
      <w:r w:rsidRPr="00844541">
        <w:rPr>
          <w:lang w:val="fr-FR"/>
        </w:rPr>
        <w:instrText xml:space="preserve"> SEQ level0 \*arabic </w:instrText>
      </w:r>
      <w:r w:rsidRPr="00844541">
        <w:fldChar w:fldCharType="separate"/>
      </w:r>
      <w:r w:rsidR="00767866">
        <w:rPr>
          <w:noProof/>
          <w:lang w:val="fr-FR"/>
        </w:rPr>
        <w:t>138</w:t>
      </w:r>
      <w:r w:rsidRPr="00844541">
        <w:rPr>
          <w:noProof/>
        </w:rPr>
        <w:fldChar w:fldCharType="end"/>
      </w:r>
      <w:r w:rsidR="00B679A3" w:rsidRPr="00844541">
        <w:rPr>
          <w:lang w:val="fr-FR"/>
        </w:rPr>
        <w:t>.  </w:t>
      </w:r>
      <w:r w:rsidR="0089163B" w:rsidRPr="00844541">
        <w:rPr>
          <w:lang w:val="fr-FR"/>
        </w:rPr>
        <w:t xml:space="preserve">La Cour </w:t>
      </w:r>
      <w:r w:rsidR="00913885" w:rsidRPr="00844541">
        <w:rPr>
          <w:lang w:val="fr-FR"/>
        </w:rPr>
        <w:t xml:space="preserve">rappelle </w:t>
      </w:r>
      <w:r w:rsidR="0089163B" w:rsidRPr="00844541">
        <w:rPr>
          <w:lang w:val="fr-FR"/>
        </w:rPr>
        <w:t>enfin que l</w:t>
      </w:r>
      <w:r w:rsidR="00844541">
        <w:rPr>
          <w:lang w:val="fr-FR"/>
        </w:rPr>
        <w:t>’</w:t>
      </w:r>
      <w:r w:rsidR="0089163B" w:rsidRPr="00844541">
        <w:rPr>
          <w:lang w:val="fr-FR"/>
        </w:rPr>
        <w:t xml:space="preserve">article 9 </w:t>
      </w:r>
      <w:r w:rsidR="00913885" w:rsidRPr="00844541">
        <w:rPr>
          <w:lang w:val="fr-FR"/>
        </w:rPr>
        <w:t xml:space="preserve">de la Convention </w:t>
      </w:r>
      <w:r w:rsidR="0089163B" w:rsidRPr="00844541">
        <w:rPr>
          <w:lang w:val="fr-FR"/>
        </w:rPr>
        <w:t xml:space="preserve">ne confère pas aux communautés </w:t>
      </w:r>
      <w:r w:rsidR="00913885" w:rsidRPr="00844541">
        <w:rPr>
          <w:lang w:val="fr-FR"/>
        </w:rPr>
        <w:t xml:space="preserve">religieuses </w:t>
      </w:r>
      <w:r w:rsidR="0089163B" w:rsidRPr="00844541">
        <w:rPr>
          <w:lang w:val="fr-FR"/>
        </w:rPr>
        <w:t>un droit de bénéficier d</w:t>
      </w:r>
      <w:r w:rsidR="00844541">
        <w:rPr>
          <w:lang w:val="fr-FR"/>
        </w:rPr>
        <w:t>’</w:t>
      </w:r>
      <w:r w:rsidR="0089163B" w:rsidRPr="00844541">
        <w:rPr>
          <w:lang w:val="fr-FR"/>
        </w:rPr>
        <w:t>un financement accru d</w:t>
      </w:r>
      <w:r w:rsidR="00A54DDD" w:rsidRPr="00844541">
        <w:rPr>
          <w:lang w:val="fr-FR"/>
        </w:rPr>
        <w:t>e la part de</w:t>
      </w:r>
      <w:r w:rsidR="0089163B" w:rsidRPr="00844541">
        <w:rPr>
          <w:lang w:val="fr-FR"/>
        </w:rPr>
        <w:t xml:space="preserve"> l</w:t>
      </w:r>
      <w:r w:rsidR="00844541">
        <w:rPr>
          <w:lang w:val="fr-FR"/>
        </w:rPr>
        <w:t>’</w:t>
      </w:r>
      <w:r w:rsidR="0089163B" w:rsidRPr="00844541">
        <w:rPr>
          <w:lang w:val="fr-FR"/>
        </w:rPr>
        <w:t>État</w:t>
      </w:r>
      <w:r w:rsidR="00913885" w:rsidRPr="00844541">
        <w:rPr>
          <w:lang w:val="fr-FR"/>
        </w:rPr>
        <w:t xml:space="preserve">, même si </w:t>
      </w:r>
      <w:r w:rsidR="0089163B" w:rsidRPr="00844541">
        <w:rPr>
          <w:lang w:val="fr-FR"/>
        </w:rPr>
        <w:t>l</w:t>
      </w:r>
      <w:r w:rsidR="00844541">
        <w:rPr>
          <w:lang w:val="fr-FR"/>
        </w:rPr>
        <w:t>’</w:t>
      </w:r>
      <w:r w:rsidR="0089163B" w:rsidRPr="00844541">
        <w:rPr>
          <w:lang w:val="fr-FR"/>
        </w:rPr>
        <w:t xml:space="preserve">octroi de subventions aux </w:t>
      </w:r>
      <w:r w:rsidR="00913885" w:rsidRPr="00844541">
        <w:rPr>
          <w:lang w:val="fr-FR"/>
        </w:rPr>
        <w:t xml:space="preserve">différentes communautés </w:t>
      </w:r>
      <w:r w:rsidR="0089163B" w:rsidRPr="00844541">
        <w:rPr>
          <w:lang w:val="fr-FR"/>
        </w:rPr>
        <w:t>religi</w:t>
      </w:r>
      <w:r w:rsidR="00913885" w:rsidRPr="00844541">
        <w:rPr>
          <w:lang w:val="fr-FR"/>
        </w:rPr>
        <w:t>euses</w:t>
      </w:r>
      <w:r w:rsidR="0089163B" w:rsidRPr="00844541">
        <w:rPr>
          <w:lang w:val="fr-FR"/>
        </w:rPr>
        <w:t xml:space="preserve"> </w:t>
      </w:r>
      <w:r w:rsidR="00913885" w:rsidRPr="00844541">
        <w:rPr>
          <w:lang w:val="fr-FR"/>
        </w:rPr>
        <w:t xml:space="preserve">– et, partant, aux différentes religions – </w:t>
      </w:r>
      <w:r w:rsidR="0089163B" w:rsidRPr="00844541">
        <w:rPr>
          <w:lang w:val="fr-FR"/>
        </w:rPr>
        <w:t>appelle le contrôle le plus rigoureux</w:t>
      </w:r>
      <w:r w:rsidR="001C1506" w:rsidRPr="00844541">
        <w:rPr>
          <w:lang w:val="fr-FR"/>
        </w:rPr>
        <w:t xml:space="preserve"> (</w:t>
      </w:r>
      <w:r w:rsidR="001C1506" w:rsidRPr="00844541">
        <w:rPr>
          <w:i/>
          <w:lang w:val="fr-FR"/>
        </w:rPr>
        <w:t>Magyar Keresztény Mennonita Egyház et autres</w:t>
      </w:r>
      <w:r w:rsidR="001C1506" w:rsidRPr="00844541">
        <w:rPr>
          <w:lang w:val="fr-FR"/>
        </w:rPr>
        <w:t xml:space="preserve"> </w:t>
      </w:r>
      <w:r w:rsidR="001C1506" w:rsidRPr="00844541">
        <w:rPr>
          <w:i/>
          <w:lang w:val="fr-FR"/>
        </w:rPr>
        <w:t>c. Hongrie</w:t>
      </w:r>
      <w:r w:rsidR="001C1506" w:rsidRPr="00844541">
        <w:rPr>
          <w:lang w:val="fr-FR"/>
        </w:rPr>
        <w:t>, n</w:t>
      </w:r>
      <w:r w:rsidR="001C1506" w:rsidRPr="00844541">
        <w:rPr>
          <w:vertAlign w:val="superscript"/>
          <w:lang w:val="fr-FR"/>
        </w:rPr>
        <w:t>os</w:t>
      </w:r>
      <w:r w:rsidR="001C1506" w:rsidRPr="00844541">
        <w:rPr>
          <w:lang w:val="fr-FR"/>
        </w:rPr>
        <w:t xml:space="preserve"> 70945/11, 23611/12, 26998/12, 41150/12, 41155/12, 41463/12, 41553/12, 54977/12 et 56581/12, § 106, CEDH 2014)</w:t>
      </w:r>
      <w:r w:rsidR="0089163B" w:rsidRPr="00844541">
        <w:rPr>
          <w:lang w:val="fr-FR"/>
        </w:rPr>
        <w:t>.</w:t>
      </w:r>
      <w:r w:rsidR="0063607B" w:rsidRPr="00844541">
        <w:rPr>
          <w:lang w:val="fr-FR"/>
        </w:rPr>
        <w:t xml:space="preserve"> À cet égard, la Cour note que l</w:t>
      </w:r>
      <w:r w:rsidR="00844541">
        <w:rPr>
          <w:lang w:val="fr-FR"/>
        </w:rPr>
        <w:t>’</w:t>
      </w:r>
      <w:r w:rsidR="0063607B" w:rsidRPr="00844541">
        <w:rPr>
          <w:lang w:val="fr-FR"/>
        </w:rPr>
        <w:t>article 4 du décret-loi n</w:t>
      </w:r>
      <w:r w:rsidR="0063607B" w:rsidRPr="00844541">
        <w:rPr>
          <w:vertAlign w:val="superscript"/>
          <w:lang w:val="fr-FR"/>
        </w:rPr>
        <w:t>o</w:t>
      </w:r>
      <w:r w:rsidR="0063607B" w:rsidRPr="00844541">
        <w:rPr>
          <w:lang w:val="fr-FR"/>
        </w:rPr>
        <w:t xml:space="preserve"> 126/1990</w:t>
      </w:r>
      <w:r w:rsidR="003D4301" w:rsidRPr="00844541">
        <w:rPr>
          <w:lang w:val="fr-FR"/>
        </w:rPr>
        <w:t xml:space="preserve"> </w:t>
      </w:r>
      <w:r w:rsidR="00913885" w:rsidRPr="00844541">
        <w:rPr>
          <w:lang w:val="fr-FR"/>
        </w:rPr>
        <w:t xml:space="preserve">énonce </w:t>
      </w:r>
      <w:r w:rsidR="003D4301" w:rsidRPr="00844541">
        <w:rPr>
          <w:lang w:val="fr-FR"/>
        </w:rPr>
        <w:t>que</w:t>
      </w:r>
      <w:r w:rsidR="001703D7" w:rsidRPr="00844541">
        <w:rPr>
          <w:lang w:val="fr-FR"/>
        </w:rPr>
        <w:t>,</w:t>
      </w:r>
      <w:r w:rsidR="003D4301" w:rsidRPr="00844541">
        <w:rPr>
          <w:lang w:val="fr-FR"/>
        </w:rPr>
        <w:t xml:space="preserve"> dans les communes où le nombre des lieux de culte est insuffisant par rapport au nombre des </w:t>
      </w:r>
      <w:r w:rsidR="00913885" w:rsidRPr="00844541">
        <w:rPr>
          <w:lang w:val="fr-FR"/>
        </w:rPr>
        <w:t>fidèles</w:t>
      </w:r>
      <w:r w:rsidR="003D4301" w:rsidRPr="00844541">
        <w:rPr>
          <w:lang w:val="fr-FR"/>
        </w:rPr>
        <w:t>, l</w:t>
      </w:r>
      <w:r w:rsidR="00844541">
        <w:rPr>
          <w:lang w:val="fr-FR"/>
        </w:rPr>
        <w:t>’</w:t>
      </w:r>
      <w:r w:rsidR="003D4301" w:rsidRPr="00844541">
        <w:rPr>
          <w:lang w:val="fr-FR"/>
        </w:rPr>
        <w:t xml:space="preserve">État apportera son soutien </w:t>
      </w:r>
      <w:r w:rsidR="00D42E51" w:rsidRPr="00844541">
        <w:rPr>
          <w:lang w:val="fr-FR"/>
        </w:rPr>
        <w:t xml:space="preserve">à </w:t>
      </w:r>
      <w:r w:rsidR="003D4301" w:rsidRPr="00844541">
        <w:rPr>
          <w:lang w:val="fr-FR"/>
        </w:rPr>
        <w:t>la construction de nouvelles églises</w:t>
      </w:r>
      <w:r w:rsidR="00A54DDD" w:rsidRPr="00844541">
        <w:rPr>
          <w:lang w:val="fr-FR"/>
        </w:rPr>
        <w:t xml:space="preserve">. </w:t>
      </w:r>
      <w:r w:rsidR="00D42E51" w:rsidRPr="00844541">
        <w:rPr>
          <w:rFonts w:cstheme="minorHAnsi"/>
          <w:lang w:val="fr-FR"/>
        </w:rPr>
        <w:t>À</w:t>
      </w:r>
      <w:r w:rsidR="003D4301" w:rsidRPr="00844541">
        <w:rPr>
          <w:lang w:val="fr-FR"/>
        </w:rPr>
        <w:t xml:space="preserve"> cette fin, l</w:t>
      </w:r>
      <w:r w:rsidR="00844541">
        <w:rPr>
          <w:lang w:val="fr-FR"/>
        </w:rPr>
        <w:t>’</w:t>
      </w:r>
      <w:r w:rsidR="002F520B" w:rsidRPr="00844541">
        <w:rPr>
          <w:lang w:val="fr-FR"/>
        </w:rPr>
        <w:t>État</w:t>
      </w:r>
      <w:r w:rsidR="003D4301" w:rsidRPr="00844541">
        <w:rPr>
          <w:lang w:val="fr-FR"/>
        </w:rPr>
        <w:t xml:space="preserve"> mettra </w:t>
      </w:r>
      <w:r w:rsidR="00D42E51" w:rsidRPr="00844541">
        <w:rPr>
          <w:lang w:val="fr-FR"/>
        </w:rPr>
        <w:t xml:space="preserve">le terrain approprié </w:t>
      </w:r>
      <w:r w:rsidR="003D4301" w:rsidRPr="00844541">
        <w:rPr>
          <w:lang w:val="fr-FR"/>
        </w:rPr>
        <w:t>à la disposition de</w:t>
      </w:r>
      <w:r w:rsidR="00D42E51" w:rsidRPr="00844541">
        <w:rPr>
          <w:lang w:val="fr-FR"/>
        </w:rPr>
        <w:t>s</w:t>
      </w:r>
      <w:r w:rsidR="003D4301" w:rsidRPr="00844541">
        <w:rPr>
          <w:lang w:val="fr-FR"/>
        </w:rPr>
        <w:t xml:space="preserve"> cultes </w:t>
      </w:r>
      <w:r w:rsidR="00D42E51" w:rsidRPr="00844541">
        <w:rPr>
          <w:lang w:val="fr-FR"/>
        </w:rPr>
        <w:t xml:space="preserve">concernés </w:t>
      </w:r>
      <w:r w:rsidR="003D4301" w:rsidRPr="00844541">
        <w:rPr>
          <w:lang w:val="fr-FR"/>
        </w:rPr>
        <w:t>s</w:t>
      </w:r>
      <w:r w:rsidR="00844541">
        <w:rPr>
          <w:lang w:val="fr-FR"/>
        </w:rPr>
        <w:t>’</w:t>
      </w:r>
      <w:r w:rsidR="00A54DDD" w:rsidRPr="00844541">
        <w:rPr>
          <w:lang w:val="fr-FR"/>
        </w:rPr>
        <w:t>ils</w:t>
      </w:r>
      <w:r w:rsidR="003D4301" w:rsidRPr="00844541">
        <w:rPr>
          <w:lang w:val="fr-FR"/>
        </w:rPr>
        <w:t xml:space="preserve"> n</w:t>
      </w:r>
      <w:r w:rsidR="00844541">
        <w:rPr>
          <w:lang w:val="fr-FR"/>
        </w:rPr>
        <w:t>’</w:t>
      </w:r>
      <w:r w:rsidR="003D4301" w:rsidRPr="00844541">
        <w:rPr>
          <w:lang w:val="fr-FR"/>
        </w:rPr>
        <w:t xml:space="preserve">en </w:t>
      </w:r>
      <w:r w:rsidR="00D42E51" w:rsidRPr="00844541">
        <w:rPr>
          <w:lang w:val="fr-FR"/>
        </w:rPr>
        <w:t>ont</w:t>
      </w:r>
      <w:r w:rsidR="003D4301" w:rsidRPr="00844541">
        <w:rPr>
          <w:lang w:val="fr-FR"/>
        </w:rPr>
        <w:t xml:space="preserve"> pas et contribuera à la collecte des fonds nécessaires.</w:t>
      </w:r>
      <w:r w:rsidR="002F520B" w:rsidRPr="00844541">
        <w:rPr>
          <w:lang w:val="fr-FR"/>
        </w:rPr>
        <w:t xml:space="preserve"> La Cour constate que cette disposition légale donne la possibilité aux paroisses qui ne bénéficient pas d</w:t>
      </w:r>
      <w:r w:rsidR="00844541">
        <w:rPr>
          <w:lang w:val="fr-FR"/>
        </w:rPr>
        <w:t>’</w:t>
      </w:r>
      <w:r w:rsidR="002F520B" w:rsidRPr="00844541">
        <w:rPr>
          <w:lang w:val="fr-FR"/>
        </w:rPr>
        <w:t>un lieu de culte d</w:t>
      </w:r>
      <w:r w:rsidR="00844541">
        <w:rPr>
          <w:lang w:val="fr-FR"/>
        </w:rPr>
        <w:t>’</w:t>
      </w:r>
      <w:r w:rsidR="002F520B" w:rsidRPr="00844541">
        <w:rPr>
          <w:lang w:val="fr-FR"/>
        </w:rPr>
        <w:t>obtenir l</w:t>
      </w:r>
      <w:r w:rsidR="00844541">
        <w:rPr>
          <w:lang w:val="fr-FR"/>
        </w:rPr>
        <w:t>’</w:t>
      </w:r>
      <w:r w:rsidR="002F520B" w:rsidRPr="00844541">
        <w:rPr>
          <w:lang w:val="fr-FR"/>
        </w:rPr>
        <w:t>aide de l</w:t>
      </w:r>
      <w:r w:rsidR="00844541">
        <w:rPr>
          <w:lang w:val="fr-FR"/>
        </w:rPr>
        <w:t>’</w:t>
      </w:r>
      <w:r w:rsidR="002F520B" w:rsidRPr="00844541">
        <w:rPr>
          <w:lang w:val="fr-FR"/>
        </w:rPr>
        <w:t xml:space="preserve">État </w:t>
      </w:r>
      <w:r w:rsidR="00D42E51" w:rsidRPr="00844541">
        <w:rPr>
          <w:lang w:val="fr-FR"/>
        </w:rPr>
        <w:t>à la construction d</w:t>
      </w:r>
      <w:r w:rsidR="00844541">
        <w:rPr>
          <w:lang w:val="fr-FR"/>
        </w:rPr>
        <w:t>’</w:t>
      </w:r>
      <w:r w:rsidR="002F520B" w:rsidRPr="00844541">
        <w:rPr>
          <w:lang w:val="fr-FR"/>
        </w:rPr>
        <w:t xml:space="preserve">un tel </w:t>
      </w:r>
      <w:r w:rsidR="008F14FD" w:rsidRPr="00844541">
        <w:rPr>
          <w:lang w:val="fr-FR"/>
        </w:rPr>
        <w:t>édifice</w:t>
      </w:r>
      <w:r w:rsidR="002F520B" w:rsidRPr="00844541">
        <w:rPr>
          <w:lang w:val="fr-FR"/>
        </w:rPr>
        <w:t xml:space="preserve">. </w:t>
      </w:r>
      <w:r w:rsidR="008F14FD" w:rsidRPr="00844541">
        <w:rPr>
          <w:lang w:val="fr-FR"/>
        </w:rPr>
        <w:t>Le texte de loi n</w:t>
      </w:r>
      <w:r w:rsidR="00844541">
        <w:rPr>
          <w:lang w:val="fr-FR"/>
        </w:rPr>
        <w:t>’</w:t>
      </w:r>
      <w:r w:rsidR="008F14FD" w:rsidRPr="00844541">
        <w:rPr>
          <w:lang w:val="fr-FR"/>
        </w:rPr>
        <w:t>impose a</w:t>
      </w:r>
      <w:r w:rsidR="002F520B" w:rsidRPr="00844541">
        <w:rPr>
          <w:lang w:val="fr-FR"/>
        </w:rPr>
        <w:t>ucun autre critère</w:t>
      </w:r>
      <w:r w:rsidR="008F14FD" w:rsidRPr="00844541">
        <w:rPr>
          <w:lang w:val="fr-FR"/>
        </w:rPr>
        <w:t xml:space="preserve"> susceptible de</w:t>
      </w:r>
      <w:r w:rsidR="002F520B" w:rsidRPr="00844541">
        <w:rPr>
          <w:lang w:val="fr-FR"/>
        </w:rPr>
        <w:t xml:space="preserve"> bloquer l</w:t>
      </w:r>
      <w:r w:rsidR="00844541">
        <w:rPr>
          <w:lang w:val="fr-FR"/>
        </w:rPr>
        <w:t>’</w:t>
      </w:r>
      <w:r w:rsidR="002F520B" w:rsidRPr="00844541">
        <w:rPr>
          <w:lang w:val="fr-FR"/>
        </w:rPr>
        <w:t>accès des intéressés à ces aides financi</w:t>
      </w:r>
      <w:r w:rsidR="00EF3F67" w:rsidRPr="00844541">
        <w:rPr>
          <w:lang w:val="fr-FR"/>
        </w:rPr>
        <w:t>ères</w:t>
      </w:r>
      <w:r w:rsidR="00A54DDD" w:rsidRPr="00844541">
        <w:rPr>
          <w:lang w:val="fr-FR"/>
        </w:rPr>
        <w:t xml:space="preserve"> </w:t>
      </w:r>
      <w:r w:rsidR="002F520B" w:rsidRPr="00844541">
        <w:rPr>
          <w:lang w:val="fr-FR"/>
        </w:rPr>
        <w:t xml:space="preserve">(voir, </w:t>
      </w:r>
      <w:r w:rsidR="002F520B" w:rsidRPr="00844541">
        <w:rPr>
          <w:i/>
          <w:lang w:val="fr-FR"/>
        </w:rPr>
        <w:t>a contrario</w:t>
      </w:r>
      <w:r w:rsidR="002F520B" w:rsidRPr="00844541">
        <w:rPr>
          <w:lang w:val="fr-FR"/>
        </w:rPr>
        <w:t xml:space="preserve">, </w:t>
      </w:r>
      <w:r w:rsidR="002F520B" w:rsidRPr="00844541">
        <w:rPr>
          <w:i/>
          <w:lang w:val="fr-FR"/>
        </w:rPr>
        <w:t>Magyar Keresztény Mennonita Egyház et autres</w:t>
      </w:r>
      <w:r w:rsidR="002F520B" w:rsidRPr="00844541">
        <w:rPr>
          <w:lang w:val="fr-FR"/>
        </w:rPr>
        <w:t xml:space="preserve">, précité, § 110). Par ailleurs, </w:t>
      </w:r>
      <w:r w:rsidR="00AC4B1C" w:rsidRPr="00844541">
        <w:rPr>
          <w:lang w:val="fr-FR"/>
        </w:rPr>
        <w:t xml:space="preserve">la Cour relève que, </w:t>
      </w:r>
      <w:r w:rsidR="002F520B" w:rsidRPr="00844541">
        <w:rPr>
          <w:lang w:val="fr-FR"/>
        </w:rPr>
        <w:t>d</w:t>
      </w:r>
      <w:r w:rsidR="00844541">
        <w:rPr>
          <w:lang w:val="fr-FR"/>
        </w:rPr>
        <w:t>’</w:t>
      </w:r>
      <w:r w:rsidR="002F520B" w:rsidRPr="00844541">
        <w:rPr>
          <w:lang w:val="fr-FR"/>
        </w:rPr>
        <w:t>après des renseignements fournis par le Gouvernement et non contestés par les requérants, d</w:t>
      </w:r>
      <w:r w:rsidR="00844541">
        <w:rPr>
          <w:lang w:val="fr-FR"/>
        </w:rPr>
        <w:t>’</w:t>
      </w:r>
      <w:r w:rsidR="002F520B" w:rsidRPr="00844541">
        <w:rPr>
          <w:lang w:val="fr-FR"/>
        </w:rPr>
        <w:t>autres paroisses gréco-catholiques qui avaient sollicité une aide en vertu de l</w:t>
      </w:r>
      <w:r w:rsidR="00844541">
        <w:rPr>
          <w:lang w:val="fr-FR"/>
        </w:rPr>
        <w:t>’</w:t>
      </w:r>
      <w:r w:rsidR="002F520B" w:rsidRPr="00844541">
        <w:rPr>
          <w:lang w:val="fr-FR"/>
        </w:rPr>
        <w:t>article 4 du décret-loi n</w:t>
      </w:r>
      <w:r w:rsidR="002F520B" w:rsidRPr="00844541">
        <w:rPr>
          <w:vertAlign w:val="superscript"/>
          <w:lang w:val="fr-FR"/>
        </w:rPr>
        <w:t>o</w:t>
      </w:r>
      <w:r w:rsidR="002F520B" w:rsidRPr="00844541">
        <w:rPr>
          <w:lang w:val="fr-FR"/>
        </w:rPr>
        <w:t xml:space="preserve"> 126/1990 ont pu bénéficier de différents types de financement </w:t>
      </w:r>
      <w:r w:rsidR="00AC4B1C" w:rsidRPr="00844541">
        <w:rPr>
          <w:lang w:val="fr-FR"/>
        </w:rPr>
        <w:t>destinés à la construction d</w:t>
      </w:r>
      <w:r w:rsidR="00844541">
        <w:rPr>
          <w:lang w:val="fr-FR"/>
        </w:rPr>
        <w:t>’</w:t>
      </w:r>
      <w:r w:rsidR="002F520B" w:rsidRPr="00844541">
        <w:rPr>
          <w:lang w:val="fr-FR"/>
        </w:rPr>
        <w:t xml:space="preserve">une nouvelle église. Les requérants </w:t>
      </w:r>
      <w:r w:rsidR="001703D7" w:rsidRPr="00844541">
        <w:rPr>
          <w:lang w:val="fr-FR"/>
        </w:rPr>
        <w:t xml:space="preserve">bénéficient </w:t>
      </w:r>
      <w:r w:rsidR="00AC4B1C" w:rsidRPr="00844541">
        <w:rPr>
          <w:lang w:val="fr-FR"/>
        </w:rPr>
        <w:t xml:space="preserve">donc </w:t>
      </w:r>
      <w:r w:rsidR="002F520B" w:rsidRPr="00844541">
        <w:rPr>
          <w:lang w:val="fr-FR"/>
        </w:rPr>
        <w:t xml:space="preserve">toujours </w:t>
      </w:r>
      <w:r w:rsidR="001703D7" w:rsidRPr="00844541">
        <w:rPr>
          <w:lang w:val="fr-FR"/>
        </w:rPr>
        <w:t>de</w:t>
      </w:r>
      <w:r w:rsidR="002F520B" w:rsidRPr="00844541">
        <w:rPr>
          <w:lang w:val="fr-FR"/>
        </w:rPr>
        <w:t xml:space="preserve"> cette voie pour obtenir un</w:t>
      </w:r>
      <w:r w:rsidR="001703D7" w:rsidRPr="00844541">
        <w:rPr>
          <w:lang w:val="fr-FR"/>
        </w:rPr>
        <w:t>e</w:t>
      </w:r>
      <w:r w:rsidR="002F520B" w:rsidRPr="00844541">
        <w:rPr>
          <w:lang w:val="fr-FR"/>
        </w:rPr>
        <w:t xml:space="preserve"> aide de l</w:t>
      </w:r>
      <w:r w:rsidR="00844541">
        <w:rPr>
          <w:lang w:val="fr-FR"/>
        </w:rPr>
        <w:t>’</w:t>
      </w:r>
      <w:r w:rsidR="002F520B" w:rsidRPr="00844541">
        <w:rPr>
          <w:lang w:val="fr-FR"/>
        </w:rPr>
        <w:t>État.</w:t>
      </w:r>
    </w:p>
    <w:p w:rsidR="00767866" w:rsidRPr="00844541" w:rsidRDefault="00D01A28" w:rsidP="00844541">
      <w:pPr>
        <w:pStyle w:val="ECHRPara"/>
        <w:rPr>
          <w:noProof/>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139</w:t>
      </w:r>
      <w:r w:rsidRPr="00844541">
        <w:rPr>
          <w:noProof/>
        </w:rPr>
        <w:fldChar w:fldCharType="end"/>
      </w:r>
      <w:r w:rsidR="00B679A3" w:rsidRPr="00844541">
        <w:rPr>
          <w:lang w:val="fr-FR"/>
        </w:rPr>
        <w:t>.  </w:t>
      </w:r>
      <w:r w:rsidR="00E37E43" w:rsidRPr="00844541">
        <w:rPr>
          <w:lang w:val="fr-FR"/>
        </w:rPr>
        <w:t>Compte tenu de ce qui précède, la Cour considère que</w:t>
      </w:r>
      <w:r w:rsidR="002C2D83" w:rsidRPr="00844541">
        <w:rPr>
          <w:lang w:val="fr-FR"/>
        </w:rPr>
        <w:t>,</w:t>
      </w:r>
      <w:r w:rsidR="00E37E43" w:rsidRPr="00844541">
        <w:rPr>
          <w:lang w:val="fr-FR"/>
        </w:rPr>
        <w:t xml:space="preserve"> dans les circonstances de l</w:t>
      </w:r>
      <w:r w:rsidR="00844541">
        <w:rPr>
          <w:lang w:val="fr-FR"/>
        </w:rPr>
        <w:t>’</w:t>
      </w:r>
      <w:r w:rsidR="00E37E43" w:rsidRPr="00844541">
        <w:rPr>
          <w:lang w:val="fr-FR"/>
        </w:rPr>
        <w:t xml:space="preserve">espèce, le refus des juridictions internes de reconnaître </w:t>
      </w:r>
      <w:r w:rsidR="0023448F" w:rsidRPr="00844541">
        <w:rPr>
          <w:lang w:val="fr-FR"/>
        </w:rPr>
        <w:t>un</w:t>
      </w:r>
      <w:r w:rsidR="00E37E43" w:rsidRPr="00844541">
        <w:rPr>
          <w:lang w:val="fr-FR"/>
        </w:rPr>
        <w:t xml:space="preserve"> droit de propriété </w:t>
      </w:r>
      <w:r w:rsidR="0023448F" w:rsidRPr="00844541">
        <w:rPr>
          <w:lang w:val="fr-FR"/>
        </w:rPr>
        <w:t>en faveur des</w:t>
      </w:r>
      <w:r w:rsidR="00E37E43" w:rsidRPr="00844541">
        <w:rPr>
          <w:lang w:val="fr-FR"/>
        </w:rPr>
        <w:t xml:space="preserve"> requérants sur l</w:t>
      </w:r>
      <w:r w:rsidR="00844541">
        <w:rPr>
          <w:lang w:val="fr-FR"/>
        </w:rPr>
        <w:t>’</w:t>
      </w:r>
      <w:r w:rsidR="00E37E43" w:rsidRPr="00844541">
        <w:rPr>
          <w:lang w:val="fr-FR"/>
        </w:rPr>
        <w:t>église en litige n</w:t>
      </w:r>
      <w:r w:rsidR="00844541">
        <w:rPr>
          <w:lang w:val="fr-FR"/>
        </w:rPr>
        <w:t>’</w:t>
      </w:r>
      <w:r w:rsidR="00E37E43" w:rsidRPr="00844541">
        <w:rPr>
          <w:lang w:val="fr-FR"/>
        </w:rPr>
        <w:t xml:space="preserve">a pas constitué une </w:t>
      </w:r>
      <w:r w:rsidR="00AB0525" w:rsidRPr="00844541">
        <w:rPr>
          <w:lang w:val="fr-FR"/>
        </w:rPr>
        <w:t>ingérence</w:t>
      </w:r>
      <w:r w:rsidR="00E37E43" w:rsidRPr="00844541">
        <w:rPr>
          <w:lang w:val="fr-FR"/>
        </w:rPr>
        <w:t xml:space="preserve"> injustifié</w:t>
      </w:r>
      <w:r w:rsidR="001703D7" w:rsidRPr="00844541">
        <w:rPr>
          <w:lang w:val="fr-FR"/>
        </w:rPr>
        <w:t>e</w:t>
      </w:r>
      <w:r w:rsidR="00E37E43" w:rsidRPr="00844541">
        <w:rPr>
          <w:lang w:val="fr-FR"/>
        </w:rPr>
        <w:t xml:space="preserve"> dans </w:t>
      </w:r>
      <w:r w:rsidR="007F61AB" w:rsidRPr="00844541">
        <w:rPr>
          <w:lang w:val="fr-FR"/>
        </w:rPr>
        <w:t>l</w:t>
      </w:r>
      <w:r w:rsidR="00844541">
        <w:rPr>
          <w:lang w:val="fr-FR"/>
        </w:rPr>
        <w:t>’</w:t>
      </w:r>
      <w:r w:rsidR="001226E5" w:rsidRPr="00844541">
        <w:rPr>
          <w:lang w:val="fr-FR"/>
        </w:rPr>
        <w:t>exercice de l</w:t>
      </w:r>
      <w:r w:rsidR="007F61AB" w:rsidRPr="00844541">
        <w:rPr>
          <w:lang w:val="fr-FR"/>
        </w:rPr>
        <w:t>eur</w:t>
      </w:r>
      <w:r w:rsidR="00E37E43" w:rsidRPr="00844541">
        <w:rPr>
          <w:lang w:val="fr-FR"/>
        </w:rPr>
        <w:t xml:space="preserve"> droit </w:t>
      </w:r>
      <w:r w:rsidR="001226E5" w:rsidRPr="00844541">
        <w:rPr>
          <w:lang w:val="fr-FR"/>
        </w:rPr>
        <w:t>à la liberté</w:t>
      </w:r>
      <w:r w:rsidR="00E37E43" w:rsidRPr="00844541">
        <w:rPr>
          <w:lang w:val="fr-FR"/>
        </w:rPr>
        <w:t xml:space="preserve"> de religion. De même, </w:t>
      </w:r>
      <w:r w:rsidR="001226E5" w:rsidRPr="00844541">
        <w:rPr>
          <w:lang w:val="fr-FR"/>
        </w:rPr>
        <w:t xml:space="preserve">elle estime que </w:t>
      </w:r>
      <w:r w:rsidR="00E37E43" w:rsidRPr="00844541">
        <w:rPr>
          <w:lang w:val="fr-FR"/>
        </w:rPr>
        <w:t xml:space="preserve">la mesure litigieuse ne </w:t>
      </w:r>
      <w:r w:rsidR="00AB0525" w:rsidRPr="00844541">
        <w:rPr>
          <w:lang w:val="fr-FR"/>
        </w:rPr>
        <w:t>revêtait</w:t>
      </w:r>
      <w:r w:rsidR="00E37E43" w:rsidRPr="00844541">
        <w:rPr>
          <w:lang w:val="fr-FR"/>
        </w:rPr>
        <w:t xml:space="preserve"> pas un caractère discriminatoire. Les juridictions internes n</w:t>
      </w:r>
      <w:r w:rsidR="00844541">
        <w:rPr>
          <w:lang w:val="fr-FR"/>
        </w:rPr>
        <w:t>’</w:t>
      </w:r>
      <w:r w:rsidR="00E37E43" w:rsidRPr="00844541">
        <w:rPr>
          <w:lang w:val="fr-FR"/>
        </w:rPr>
        <w:t xml:space="preserve">ont pas fondé leur </w:t>
      </w:r>
      <w:r w:rsidR="007F61AB" w:rsidRPr="00844541">
        <w:rPr>
          <w:lang w:val="fr-FR"/>
        </w:rPr>
        <w:t>décision</w:t>
      </w:r>
      <w:r w:rsidR="00E37E43" w:rsidRPr="00844541">
        <w:rPr>
          <w:lang w:val="fr-FR"/>
        </w:rPr>
        <w:t xml:space="preserve"> sur des éléments </w:t>
      </w:r>
      <w:r w:rsidR="001226E5" w:rsidRPr="00844541">
        <w:rPr>
          <w:lang w:val="fr-FR"/>
        </w:rPr>
        <w:t xml:space="preserve">relatifs </w:t>
      </w:r>
      <w:r w:rsidR="00E37E43" w:rsidRPr="00844541">
        <w:rPr>
          <w:lang w:val="fr-FR"/>
        </w:rPr>
        <w:t>à l</w:t>
      </w:r>
      <w:r w:rsidR="00844541">
        <w:rPr>
          <w:lang w:val="fr-FR"/>
        </w:rPr>
        <w:t>’</w:t>
      </w:r>
      <w:r w:rsidR="00E37E43" w:rsidRPr="00844541">
        <w:rPr>
          <w:lang w:val="fr-FR"/>
        </w:rPr>
        <w:t>appartenance religieuse</w:t>
      </w:r>
      <w:r w:rsidR="00CE46E5" w:rsidRPr="00844541">
        <w:rPr>
          <w:lang w:val="fr-FR"/>
        </w:rPr>
        <w:t xml:space="preserve"> mais sur des éléments factuels concrets</w:t>
      </w:r>
      <w:r w:rsidR="00D65242" w:rsidRPr="00844541">
        <w:rPr>
          <w:lang w:val="fr-FR"/>
        </w:rPr>
        <w:t xml:space="preserve"> (paragraphe</w:t>
      </w:r>
      <w:r w:rsidR="003824BD" w:rsidRPr="00844541">
        <w:rPr>
          <w:lang w:val="fr-FR"/>
        </w:rPr>
        <w:t xml:space="preserve"> </w:t>
      </w:r>
      <w:r w:rsidR="00293142" w:rsidRPr="00844541">
        <w:fldChar w:fldCharType="begin"/>
      </w:r>
      <w:r w:rsidR="00293142" w:rsidRPr="00844541">
        <w:rPr>
          <w:lang w:val="fr-FR"/>
        </w:rPr>
        <w:instrText xml:space="preserve"> REF P118 \h </w:instrText>
      </w:r>
      <w:r w:rsidR="004C1AE4" w:rsidRPr="00844541">
        <w:rPr>
          <w:lang w:val="fr-FR"/>
        </w:rPr>
        <w:instrText xml:space="preserve"> \* MERGEFORMAT </w:instrText>
      </w:r>
      <w:r w:rsidR="00293142" w:rsidRPr="00844541">
        <w:fldChar w:fldCharType="separate"/>
      </w:r>
    </w:p>
    <w:p w:rsidR="00B43D08" w:rsidRPr="00844541" w:rsidRDefault="00767866" w:rsidP="00844541">
      <w:pPr>
        <w:pStyle w:val="ECHRPara"/>
        <w:rPr>
          <w:lang w:val="fr-FR"/>
        </w:rPr>
      </w:pPr>
      <w:r>
        <w:rPr>
          <w:noProof/>
          <w:lang w:val="fr-FR"/>
        </w:rPr>
        <w:t>118</w:t>
      </w:r>
      <w:r w:rsidR="00293142" w:rsidRPr="00844541">
        <w:fldChar w:fldCharType="end"/>
      </w:r>
      <w:r w:rsidR="00D65242" w:rsidRPr="00844541">
        <w:rPr>
          <w:lang w:val="fr-FR"/>
        </w:rPr>
        <w:t xml:space="preserve"> ci-dessus)</w:t>
      </w:r>
      <w:r w:rsidR="00E37E43" w:rsidRPr="00844541">
        <w:rPr>
          <w:lang w:val="fr-FR"/>
        </w:rPr>
        <w:t>.</w:t>
      </w:r>
    </w:p>
    <w:p w:rsidR="00E37E43"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140</w:t>
      </w:r>
      <w:r w:rsidRPr="00844541">
        <w:rPr>
          <w:noProof/>
        </w:rPr>
        <w:fldChar w:fldCharType="end"/>
      </w:r>
      <w:r w:rsidR="00B679A3" w:rsidRPr="00844541">
        <w:rPr>
          <w:lang w:val="fr-FR"/>
        </w:rPr>
        <w:t>.  </w:t>
      </w:r>
      <w:r w:rsidR="00E37E43" w:rsidRPr="00844541">
        <w:rPr>
          <w:lang w:val="fr-FR"/>
        </w:rPr>
        <w:t xml:space="preserve">Eu égard </w:t>
      </w:r>
      <w:r w:rsidR="002C2D83" w:rsidRPr="00844541">
        <w:rPr>
          <w:lang w:val="fr-FR"/>
        </w:rPr>
        <w:t>à tous les éléments</w:t>
      </w:r>
      <w:r w:rsidR="00E37E43" w:rsidRPr="00844541">
        <w:rPr>
          <w:lang w:val="fr-FR"/>
        </w:rPr>
        <w:t xml:space="preserve"> qui précède</w:t>
      </w:r>
      <w:r w:rsidR="002C2D83" w:rsidRPr="00844541">
        <w:rPr>
          <w:lang w:val="fr-FR"/>
        </w:rPr>
        <w:t>nt</w:t>
      </w:r>
      <w:r w:rsidR="00E37E43" w:rsidRPr="00844541">
        <w:rPr>
          <w:lang w:val="fr-FR"/>
        </w:rPr>
        <w:t xml:space="preserve">, la Cour </w:t>
      </w:r>
      <w:r w:rsidR="00D5224A" w:rsidRPr="00844541">
        <w:rPr>
          <w:lang w:val="fr-FR"/>
        </w:rPr>
        <w:t>estime</w:t>
      </w:r>
      <w:r w:rsidR="00D5224A" w:rsidRPr="00844541">
        <w:rPr>
          <w:snapToGrid w:val="0"/>
          <w:lang w:val="fr-FR"/>
        </w:rPr>
        <w:t xml:space="preserve"> que ces griefs sont manifestement mal fondés et </w:t>
      </w:r>
      <w:r w:rsidR="002C2D83" w:rsidRPr="00844541">
        <w:rPr>
          <w:snapToGrid w:val="0"/>
          <w:lang w:val="fr-FR"/>
        </w:rPr>
        <w:t>qu</w:t>
      </w:r>
      <w:r w:rsidR="00844541">
        <w:rPr>
          <w:snapToGrid w:val="0"/>
          <w:lang w:val="fr-FR"/>
        </w:rPr>
        <w:t>’</w:t>
      </w:r>
      <w:r w:rsidR="002C2D83" w:rsidRPr="00844541">
        <w:rPr>
          <w:snapToGrid w:val="0"/>
          <w:lang w:val="fr-FR"/>
        </w:rPr>
        <w:t xml:space="preserve">ils </w:t>
      </w:r>
      <w:r w:rsidR="00D5224A" w:rsidRPr="00844541">
        <w:rPr>
          <w:snapToGrid w:val="0"/>
          <w:lang w:val="fr-FR"/>
        </w:rPr>
        <w:t>doivent être rejetés</w:t>
      </w:r>
      <w:r w:rsidR="002C2D83" w:rsidRPr="00844541">
        <w:rPr>
          <w:snapToGrid w:val="0"/>
          <w:lang w:val="fr-FR"/>
        </w:rPr>
        <w:t>,</w:t>
      </w:r>
      <w:r w:rsidR="00D5224A" w:rsidRPr="00844541">
        <w:rPr>
          <w:snapToGrid w:val="0"/>
          <w:lang w:val="fr-FR"/>
        </w:rPr>
        <w:t xml:space="preserve"> en application de l</w:t>
      </w:r>
      <w:r w:rsidR="00844541">
        <w:rPr>
          <w:snapToGrid w:val="0"/>
          <w:lang w:val="fr-FR"/>
        </w:rPr>
        <w:t>’</w:t>
      </w:r>
      <w:r w:rsidR="00D5224A" w:rsidRPr="00844541">
        <w:rPr>
          <w:snapToGrid w:val="0"/>
          <w:lang w:val="fr-FR"/>
        </w:rPr>
        <w:t>article 35 §§ 3 </w:t>
      </w:r>
      <w:r w:rsidR="00D5224A" w:rsidRPr="00844541">
        <w:rPr>
          <w:lang w:val="fr-FR"/>
        </w:rPr>
        <w:t xml:space="preserve">a) </w:t>
      </w:r>
      <w:r w:rsidR="00D5224A" w:rsidRPr="00844541">
        <w:rPr>
          <w:snapToGrid w:val="0"/>
          <w:lang w:val="fr-FR"/>
        </w:rPr>
        <w:t>et 4 de la Convention.</w:t>
      </w:r>
    </w:p>
    <w:p w:rsidR="005621C6" w:rsidRPr="00844541" w:rsidRDefault="005621C6" w:rsidP="00844541">
      <w:pPr>
        <w:pStyle w:val="ECHRHeading1"/>
      </w:pPr>
      <w:r w:rsidRPr="00844541">
        <w:t>I</w:t>
      </w:r>
      <w:r w:rsidR="003C33A6" w:rsidRPr="00844541">
        <w:t>V</w:t>
      </w:r>
      <w:r w:rsidRPr="00844541">
        <w:t>.  SUR LA VIOLATION ALLÉGUÉE DE L</w:t>
      </w:r>
      <w:r w:rsidR="00844541">
        <w:t>’</w:t>
      </w:r>
      <w:r w:rsidRPr="00844541">
        <w:t>ARTICLE 1 DU PROTOCOLE N</w:t>
      </w:r>
      <w:r w:rsidR="00EE1080" w:rsidRPr="00844541">
        <w:rPr>
          <w:vertAlign w:val="superscript"/>
        </w:rPr>
        <w:t>o</w:t>
      </w:r>
      <w:r w:rsidRPr="00844541">
        <w:t xml:space="preserve"> </w:t>
      </w:r>
      <w:r w:rsidR="00A11F88" w:rsidRPr="00844541">
        <w:t xml:space="preserve">1 </w:t>
      </w:r>
      <w:r w:rsidR="0082035C" w:rsidRPr="00844541">
        <w:rPr>
          <w:rFonts w:cstheme="majorHAnsi"/>
        </w:rPr>
        <w:t>À</w:t>
      </w:r>
      <w:r w:rsidRPr="00844541">
        <w:t xml:space="preserve"> LA CONVENTIO</w:t>
      </w:r>
      <w:r w:rsidR="007E3991" w:rsidRPr="00844541">
        <w:t>N</w:t>
      </w:r>
      <w:r w:rsidRPr="00844541">
        <w:t xml:space="preserve">, </w:t>
      </w:r>
      <w:r w:rsidR="00CE7C9E" w:rsidRPr="00844541">
        <w:t xml:space="preserve">PRIS </w:t>
      </w:r>
      <w:r w:rsidRPr="00844541">
        <w:t>ISOL</w:t>
      </w:r>
      <w:r w:rsidRPr="00844541">
        <w:rPr>
          <w:snapToGrid w:val="0"/>
          <w:lang w:eastAsia="en-US"/>
        </w:rPr>
        <w:t>É</w:t>
      </w:r>
      <w:r w:rsidRPr="00844541">
        <w:t xml:space="preserve">MENT </w:t>
      </w:r>
      <w:r w:rsidR="00CE7C9E" w:rsidRPr="00844541">
        <w:t xml:space="preserve">ET EN COMBINAISON </w:t>
      </w:r>
      <w:r w:rsidRPr="00844541">
        <w:t>AVEC L</w:t>
      </w:r>
      <w:r w:rsidR="00844541">
        <w:t>’</w:t>
      </w:r>
      <w:r w:rsidRPr="00844541">
        <w:t>ARTICLE 14 DE LA CONVENTION</w:t>
      </w:r>
    </w:p>
    <w:p w:rsidR="00470475" w:rsidRPr="00844541" w:rsidRDefault="00F20E70"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141</w:t>
      </w:r>
      <w:r w:rsidRPr="00844541">
        <w:fldChar w:fldCharType="end"/>
      </w:r>
      <w:r w:rsidRPr="00844541">
        <w:rPr>
          <w:lang w:val="fr-FR"/>
        </w:rPr>
        <w:t>.  </w:t>
      </w:r>
      <w:r w:rsidR="00470475" w:rsidRPr="00844541">
        <w:rPr>
          <w:lang w:val="fr-FR"/>
        </w:rPr>
        <w:t xml:space="preserve">Les requérants estiment </w:t>
      </w:r>
      <w:r w:rsidR="0082035C" w:rsidRPr="00844541">
        <w:rPr>
          <w:lang w:val="fr-FR"/>
        </w:rPr>
        <w:t>que le refus des juridictions internes d</w:t>
      </w:r>
      <w:r w:rsidR="00844541">
        <w:rPr>
          <w:lang w:val="fr-FR"/>
        </w:rPr>
        <w:t>’</w:t>
      </w:r>
      <w:r w:rsidR="0082035C" w:rsidRPr="00844541">
        <w:rPr>
          <w:lang w:val="fr-FR"/>
        </w:rPr>
        <w:t>ordonner la restitution de l</w:t>
      </w:r>
      <w:r w:rsidR="00844541">
        <w:rPr>
          <w:lang w:val="fr-FR"/>
        </w:rPr>
        <w:t>’</w:t>
      </w:r>
      <w:r w:rsidR="0082035C" w:rsidRPr="00844541">
        <w:rPr>
          <w:lang w:val="fr-FR"/>
        </w:rPr>
        <w:t>église et la manière dont elles ont jugé l</w:t>
      </w:r>
      <w:r w:rsidR="00844541">
        <w:rPr>
          <w:lang w:val="fr-FR"/>
        </w:rPr>
        <w:t>’</w:t>
      </w:r>
      <w:r w:rsidR="0082035C" w:rsidRPr="00844541">
        <w:rPr>
          <w:lang w:val="fr-FR"/>
        </w:rPr>
        <w:t xml:space="preserve">affaire ont porté </w:t>
      </w:r>
      <w:r w:rsidR="00470475" w:rsidRPr="00844541">
        <w:rPr>
          <w:lang w:val="fr-FR"/>
        </w:rPr>
        <w:t xml:space="preserve">atteinte </w:t>
      </w:r>
      <w:r w:rsidR="0082035C" w:rsidRPr="00844541">
        <w:rPr>
          <w:lang w:val="fr-FR"/>
        </w:rPr>
        <w:t xml:space="preserve">à </w:t>
      </w:r>
      <w:r w:rsidR="00470475" w:rsidRPr="00844541">
        <w:rPr>
          <w:lang w:val="fr-FR"/>
        </w:rPr>
        <w:t xml:space="preserve">leur droit au respect de leurs biens. Ils invoquent </w:t>
      </w:r>
      <w:r w:rsidR="0082035C" w:rsidRPr="00844541">
        <w:rPr>
          <w:lang w:val="fr-FR"/>
        </w:rPr>
        <w:lastRenderedPageBreak/>
        <w:t>l</w:t>
      </w:r>
      <w:r w:rsidR="00844541">
        <w:rPr>
          <w:lang w:val="fr-FR"/>
        </w:rPr>
        <w:t>’</w:t>
      </w:r>
      <w:r w:rsidR="0082035C" w:rsidRPr="00844541">
        <w:rPr>
          <w:lang w:val="fr-FR"/>
        </w:rPr>
        <w:t>article </w:t>
      </w:r>
      <w:r w:rsidR="00470475" w:rsidRPr="00844541">
        <w:rPr>
          <w:lang w:val="fr-FR"/>
        </w:rPr>
        <w:t>1 du Protocole n</w:t>
      </w:r>
      <w:r w:rsidR="00470475" w:rsidRPr="00844541">
        <w:rPr>
          <w:vertAlign w:val="superscript"/>
          <w:lang w:val="fr-FR"/>
        </w:rPr>
        <w:t>o</w:t>
      </w:r>
      <w:r w:rsidR="00470475" w:rsidRPr="00844541">
        <w:rPr>
          <w:lang w:val="fr-FR"/>
        </w:rPr>
        <w:t xml:space="preserve"> 1 à la Convention, </w:t>
      </w:r>
      <w:r w:rsidR="00EA5F63" w:rsidRPr="00844541">
        <w:rPr>
          <w:lang w:val="fr-FR"/>
        </w:rPr>
        <w:t xml:space="preserve">seul et en combinaison </w:t>
      </w:r>
      <w:r w:rsidR="00B07F10" w:rsidRPr="00844541">
        <w:rPr>
          <w:lang w:val="fr-FR"/>
        </w:rPr>
        <w:t>avec l</w:t>
      </w:r>
      <w:r w:rsidR="00844541">
        <w:rPr>
          <w:lang w:val="fr-FR"/>
        </w:rPr>
        <w:t>’</w:t>
      </w:r>
      <w:r w:rsidR="00AE2506" w:rsidRPr="00844541">
        <w:rPr>
          <w:lang w:val="fr-FR"/>
        </w:rPr>
        <w:t xml:space="preserve">article </w:t>
      </w:r>
      <w:r w:rsidR="00B07F10" w:rsidRPr="00844541">
        <w:rPr>
          <w:lang w:val="fr-FR"/>
        </w:rPr>
        <w:t xml:space="preserve">14 de la Convention </w:t>
      </w:r>
      <w:r w:rsidR="00CE7C9E" w:rsidRPr="00844541">
        <w:rPr>
          <w:lang w:val="fr-FR"/>
        </w:rPr>
        <w:t>(</w:t>
      </w:r>
      <w:r w:rsidR="00B07F10" w:rsidRPr="00844541">
        <w:rPr>
          <w:lang w:val="fr-FR"/>
        </w:rPr>
        <w:t>précité</w:t>
      </w:r>
      <w:r w:rsidR="00CE7C9E" w:rsidRPr="00844541">
        <w:rPr>
          <w:lang w:val="fr-FR"/>
        </w:rPr>
        <w:t>)</w:t>
      </w:r>
      <w:r w:rsidR="00B07F10" w:rsidRPr="00844541">
        <w:rPr>
          <w:lang w:val="fr-FR"/>
        </w:rPr>
        <w:t>. L</w:t>
      </w:r>
      <w:r w:rsidR="00844541">
        <w:rPr>
          <w:lang w:val="fr-FR"/>
        </w:rPr>
        <w:t>’</w:t>
      </w:r>
      <w:r w:rsidR="00B07F10" w:rsidRPr="00844541">
        <w:rPr>
          <w:lang w:val="fr-FR"/>
        </w:rPr>
        <w:t>article 1 du Protocole n</w:t>
      </w:r>
      <w:r w:rsidR="00B07F10" w:rsidRPr="00844541">
        <w:rPr>
          <w:vertAlign w:val="superscript"/>
          <w:lang w:val="fr-FR"/>
        </w:rPr>
        <w:t>o</w:t>
      </w:r>
      <w:r w:rsidR="00B07F10" w:rsidRPr="00844541">
        <w:rPr>
          <w:lang w:val="fr-FR"/>
        </w:rPr>
        <w:t xml:space="preserve"> 1 à la Convention est </w:t>
      </w:r>
      <w:r w:rsidR="00470475" w:rsidRPr="00844541">
        <w:rPr>
          <w:lang w:val="fr-FR"/>
        </w:rPr>
        <w:t>ainsi libellé :</w:t>
      </w:r>
    </w:p>
    <w:p w:rsidR="00610543" w:rsidRPr="00844541" w:rsidRDefault="00610543" w:rsidP="00844541">
      <w:pPr>
        <w:pStyle w:val="ECHRParaQuote"/>
      </w:pPr>
      <w:r w:rsidRPr="00844541">
        <w:t>« Toute personne physique ou morale a droit au respect de ses biens. Nul ne peut être privé de sa propriété que pour cause d</w:t>
      </w:r>
      <w:r w:rsidR="00844541">
        <w:t>’</w:t>
      </w:r>
      <w:r w:rsidRPr="00844541">
        <w:t>utilité publique et dans les conditions prévues par la loi et les principes généraux du droit international.</w:t>
      </w:r>
    </w:p>
    <w:p w:rsidR="00610543" w:rsidRPr="00844541" w:rsidRDefault="00610543" w:rsidP="00844541">
      <w:pPr>
        <w:pStyle w:val="ECHRParaQuote"/>
        <w:rPr>
          <w:lang w:eastAsia="en-US"/>
        </w:rPr>
      </w:pPr>
      <w:r w:rsidRPr="00844541">
        <w:t xml:space="preserve">Les dispositions précédentes ne portent pas atteinte au droit que possèdent les </w:t>
      </w:r>
      <w:r w:rsidR="00F20E70" w:rsidRPr="00844541">
        <w:t>États</w:t>
      </w:r>
      <w:r w:rsidRPr="00844541">
        <w:t xml:space="preserve"> de mettre en vigueur les lois qu</w:t>
      </w:r>
      <w:r w:rsidR="00844541">
        <w:t>’</w:t>
      </w:r>
      <w:r w:rsidRPr="00844541">
        <w:t>ils jugent nécessaires pour réglementer l</w:t>
      </w:r>
      <w:r w:rsidR="00844541">
        <w:t>’</w:t>
      </w:r>
      <w:r w:rsidRPr="00844541">
        <w:t>usage des biens conformément à l</w:t>
      </w:r>
      <w:r w:rsidR="00844541">
        <w:t>’</w:t>
      </w:r>
      <w:r w:rsidRPr="00844541">
        <w:t>intérêt général ou pour assurer le paiement des impôts ou d</w:t>
      </w:r>
      <w:r w:rsidR="00844541">
        <w:t>’</w:t>
      </w:r>
      <w:r w:rsidRPr="00844541">
        <w:t>autres contributions ou des amendes. »</w:t>
      </w:r>
    </w:p>
    <w:p w:rsidR="00470475" w:rsidRPr="00844541" w:rsidRDefault="00470475" w:rsidP="00844541">
      <w:pPr>
        <w:pStyle w:val="ECHRHeading2"/>
      </w:pPr>
      <w:r w:rsidRPr="00844541">
        <w:t>Sur la recevabilité</w:t>
      </w:r>
    </w:p>
    <w:p w:rsidR="00C26546" w:rsidRPr="00844541" w:rsidRDefault="00C26546" w:rsidP="00844541">
      <w:pPr>
        <w:pStyle w:val="ECHRHeading3"/>
      </w:pPr>
      <w:r w:rsidRPr="00844541">
        <w:t>1.</w:t>
      </w:r>
      <w:r w:rsidR="00C37E41" w:rsidRPr="00844541">
        <w:t>  </w:t>
      </w:r>
      <w:r w:rsidRPr="00844541">
        <w:t>Les arguments des parties</w:t>
      </w:r>
    </w:p>
    <w:p w:rsidR="00C26546" w:rsidRPr="00844541" w:rsidRDefault="00C26546" w:rsidP="00844541">
      <w:pPr>
        <w:pStyle w:val="ECHRHeading4"/>
      </w:pPr>
      <w:r w:rsidRPr="00844541">
        <w:t>a)</w:t>
      </w:r>
      <w:r w:rsidR="00C37E41" w:rsidRPr="00844541">
        <w:t>  </w:t>
      </w:r>
      <w:r w:rsidRPr="00844541">
        <w:t>Le Gouvernement</w:t>
      </w:r>
    </w:p>
    <w:bookmarkStart w:id="26" w:name="P142"/>
    <w:p w:rsidR="00DA5029"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142</w:t>
      </w:r>
      <w:r w:rsidRPr="00844541">
        <w:rPr>
          <w:noProof/>
        </w:rPr>
        <w:fldChar w:fldCharType="end"/>
      </w:r>
      <w:bookmarkEnd w:id="26"/>
      <w:r w:rsidR="00FC2765" w:rsidRPr="00844541">
        <w:rPr>
          <w:lang w:val="fr-FR"/>
        </w:rPr>
        <w:t>.  </w:t>
      </w:r>
      <w:r w:rsidR="0082035C" w:rsidRPr="00844541">
        <w:rPr>
          <w:lang w:val="fr-FR"/>
        </w:rPr>
        <w:t>Déclarant se</w:t>
      </w:r>
      <w:r w:rsidR="00FB062C" w:rsidRPr="00844541">
        <w:rPr>
          <w:lang w:val="fr-FR"/>
        </w:rPr>
        <w:t xml:space="preserve"> référ</w:t>
      </w:r>
      <w:r w:rsidR="0082035C" w:rsidRPr="00844541">
        <w:rPr>
          <w:lang w:val="fr-FR"/>
        </w:rPr>
        <w:t>er</w:t>
      </w:r>
      <w:r w:rsidR="00FB062C" w:rsidRPr="00844541">
        <w:rPr>
          <w:lang w:val="fr-FR"/>
        </w:rPr>
        <w:t xml:space="preserve"> à l</w:t>
      </w:r>
      <w:r w:rsidR="00844541">
        <w:rPr>
          <w:lang w:val="fr-FR"/>
        </w:rPr>
        <w:t>’</w:t>
      </w:r>
      <w:r w:rsidR="00FB062C" w:rsidRPr="00844541">
        <w:rPr>
          <w:lang w:val="fr-FR"/>
        </w:rPr>
        <w:t xml:space="preserve">arrêt </w:t>
      </w:r>
      <w:r w:rsidR="00FB062C" w:rsidRPr="00844541">
        <w:rPr>
          <w:i/>
          <w:lang w:val="fr-FR"/>
        </w:rPr>
        <w:t xml:space="preserve">Paroisse gréco-catholique Sâmbata Bihor </w:t>
      </w:r>
      <w:r w:rsidR="00D00356" w:rsidRPr="00844541">
        <w:rPr>
          <w:lang w:val="fr-FR"/>
        </w:rPr>
        <w:t>(précité</w:t>
      </w:r>
      <w:r w:rsidR="00D00356" w:rsidRPr="00844541">
        <w:rPr>
          <w:i/>
          <w:lang w:val="fr-FR"/>
        </w:rPr>
        <w:t xml:space="preserve">, </w:t>
      </w:r>
      <w:r w:rsidR="00FB062C" w:rsidRPr="00844541">
        <w:rPr>
          <w:lang w:val="fr-FR"/>
        </w:rPr>
        <w:t>§ 87)</w:t>
      </w:r>
      <w:r w:rsidR="00D00356" w:rsidRPr="00844541">
        <w:rPr>
          <w:lang w:val="fr-FR"/>
        </w:rPr>
        <w:t>,</w:t>
      </w:r>
      <w:r w:rsidR="00FB062C" w:rsidRPr="00844541">
        <w:rPr>
          <w:lang w:val="fr-FR"/>
        </w:rPr>
        <w:t xml:space="preserve"> le Gouvernement invite d</w:t>
      </w:r>
      <w:r w:rsidR="00844541">
        <w:rPr>
          <w:lang w:val="fr-FR"/>
        </w:rPr>
        <w:t>’</w:t>
      </w:r>
      <w:r w:rsidR="00FB062C" w:rsidRPr="00844541">
        <w:rPr>
          <w:lang w:val="fr-FR"/>
        </w:rPr>
        <w:t xml:space="preserve">abord la Cour à ne pas statuer sur ce grief des requérants, </w:t>
      </w:r>
      <w:r w:rsidR="0082035C" w:rsidRPr="00844541">
        <w:rPr>
          <w:lang w:val="fr-FR"/>
        </w:rPr>
        <w:t>estimant</w:t>
      </w:r>
      <w:r w:rsidR="00FB062C" w:rsidRPr="00844541">
        <w:rPr>
          <w:lang w:val="fr-FR"/>
        </w:rPr>
        <w:t xml:space="preserve"> qu</w:t>
      </w:r>
      <w:r w:rsidR="0082035C" w:rsidRPr="00844541">
        <w:rPr>
          <w:lang w:val="fr-FR"/>
        </w:rPr>
        <w:t>e celui-ci</w:t>
      </w:r>
      <w:r w:rsidR="00EC02F0" w:rsidRPr="00844541">
        <w:rPr>
          <w:lang w:val="fr-FR"/>
        </w:rPr>
        <w:t xml:space="preserve"> </w:t>
      </w:r>
      <w:r w:rsidR="00844161" w:rsidRPr="00844541">
        <w:rPr>
          <w:lang w:val="fr-FR"/>
        </w:rPr>
        <w:t xml:space="preserve">concerne </w:t>
      </w:r>
      <w:r w:rsidR="00FB062C" w:rsidRPr="00844541">
        <w:rPr>
          <w:lang w:val="fr-FR"/>
        </w:rPr>
        <w:t xml:space="preserve">une absence de protection procédurale </w:t>
      </w:r>
      <w:r w:rsidR="0082035C" w:rsidRPr="00844541">
        <w:rPr>
          <w:lang w:val="fr-FR"/>
        </w:rPr>
        <w:t xml:space="preserve">qui aurait déjà été </w:t>
      </w:r>
      <w:r w:rsidR="00FB062C" w:rsidRPr="00844541">
        <w:rPr>
          <w:lang w:val="fr-FR"/>
        </w:rPr>
        <w:t>examin</w:t>
      </w:r>
      <w:r w:rsidR="00EC02F0" w:rsidRPr="00844541">
        <w:rPr>
          <w:lang w:val="fr-FR"/>
        </w:rPr>
        <w:t>ée</w:t>
      </w:r>
      <w:r w:rsidR="00FB062C" w:rsidRPr="00844541">
        <w:rPr>
          <w:lang w:val="fr-FR"/>
        </w:rPr>
        <w:t xml:space="preserve"> sous l</w:t>
      </w:r>
      <w:r w:rsidR="00844541">
        <w:rPr>
          <w:lang w:val="fr-FR"/>
        </w:rPr>
        <w:t>’</w:t>
      </w:r>
      <w:r w:rsidR="00FB062C" w:rsidRPr="00844541">
        <w:rPr>
          <w:lang w:val="fr-FR"/>
        </w:rPr>
        <w:t>angle de l</w:t>
      </w:r>
      <w:r w:rsidR="00844541">
        <w:rPr>
          <w:lang w:val="fr-FR"/>
        </w:rPr>
        <w:t>’</w:t>
      </w:r>
      <w:r w:rsidR="00FB062C" w:rsidRPr="00844541">
        <w:rPr>
          <w:lang w:val="fr-FR"/>
        </w:rPr>
        <w:t>article 6 § 1 de la Convention.</w:t>
      </w:r>
    </w:p>
    <w:p w:rsidR="00FB062C"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143</w:t>
      </w:r>
      <w:r w:rsidRPr="00844541">
        <w:rPr>
          <w:noProof/>
        </w:rPr>
        <w:fldChar w:fldCharType="end"/>
      </w:r>
      <w:r w:rsidR="00FC2765" w:rsidRPr="00844541">
        <w:rPr>
          <w:lang w:val="fr-FR"/>
        </w:rPr>
        <w:t>.  </w:t>
      </w:r>
      <w:r w:rsidR="00670757" w:rsidRPr="00844541">
        <w:rPr>
          <w:lang w:val="fr-FR"/>
        </w:rPr>
        <w:t>Il excipe ensuite de l</w:t>
      </w:r>
      <w:r w:rsidR="00844541">
        <w:rPr>
          <w:lang w:val="fr-FR"/>
        </w:rPr>
        <w:t>’</w:t>
      </w:r>
      <w:r w:rsidR="00670757" w:rsidRPr="00844541">
        <w:rPr>
          <w:lang w:val="fr-FR"/>
        </w:rPr>
        <w:t xml:space="preserve">irrecevabilité </w:t>
      </w:r>
      <w:r w:rsidR="00670757" w:rsidRPr="00844541">
        <w:rPr>
          <w:i/>
          <w:lang w:val="fr-FR"/>
        </w:rPr>
        <w:t>ratione materie</w:t>
      </w:r>
      <w:r w:rsidR="00670757" w:rsidRPr="00844541">
        <w:rPr>
          <w:lang w:val="fr-FR"/>
        </w:rPr>
        <w:t xml:space="preserve"> de ce grief. </w:t>
      </w:r>
      <w:r w:rsidR="007D53C7" w:rsidRPr="00844541">
        <w:rPr>
          <w:lang w:val="fr-FR"/>
        </w:rPr>
        <w:t>À</w:t>
      </w:r>
      <w:r w:rsidR="00670757" w:rsidRPr="00844541">
        <w:rPr>
          <w:lang w:val="fr-FR"/>
        </w:rPr>
        <w:t xml:space="preserve"> ce</w:t>
      </w:r>
      <w:r w:rsidR="00271C73" w:rsidRPr="00844541">
        <w:rPr>
          <w:lang w:val="fr-FR"/>
        </w:rPr>
        <w:t>t</w:t>
      </w:r>
      <w:r w:rsidR="00670757" w:rsidRPr="00844541">
        <w:rPr>
          <w:lang w:val="fr-FR"/>
        </w:rPr>
        <w:t xml:space="preserve"> </w:t>
      </w:r>
      <w:r w:rsidR="00271C73" w:rsidRPr="00844541">
        <w:rPr>
          <w:lang w:val="fr-FR"/>
        </w:rPr>
        <w:t>égard</w:t>
      </w:r>
      <w:r w:rsidR="00670757" w:rsidRPr="00844541">
        <w:rPr>
          <w:lang w:val="fr-FR"/>
        </w:rPr>
        <w:t xml:space="preserve">, il </w:t>
      </w:r>
      <w:r w:rsidR="00417EBD" w:rsidRPr="00844541">
        <w:rPr>
          <w:lang w:val="fr-FR"/>
        </w:rPr>
        <w:t>indique</w:t>
      </w:r>
      <w:r w:rsidR="00670757" w:rsidRPr="00844541">
        <w:rPr>
          <w:lang w:val="fr-FR"/>
        </w:rPr>
        <w:t xml:space="preserve"> que les juridictions internes n</w:t>
      </w:r>
      <w:r w:rsidR="00844541">
        <w:rPr>
          <w:lang w:val="fr-FR"/>
        </w:rPr>
        <w:t>’</w:t>
      </w:r>
      <w:r w:rsidR="00670757" w:rsidRPr="00844541">
        <w:rPr>
          <w:lang w:val="fr-FR"/>
        </w:rPr>
        <w:t>ont pas reconnu, par une décision définitive, le droit de propriété des requérants sur l</w:t>
      </w:r>
      <w:r w:rsidR="00844541">
        <w:rPr>
          <w:lang w:val="fr-FR"/>
        </w:rPr>
        <w:t>’</w:t>
      </w:r>
      <w:r w:rsidR="00670757" w:rsidRPr="00844541">
        <w:rPr>
          <w:lang w:val="fr-FR"/>
        </w:rPr>
        <w:t xml:space="preserve">église en litige. Dès lors, </w:t>
      </w:r>
      <w:r w:rsidR="00417EBD" w:rsidRPr="00844541">
        <w:rPr>
          <w:lang w:val="fr-FR"/>
        </w:rPr>
        <w:t xml:space="preserve">selon lui, </w:t>
      </w:r>
      <w:r w:rsidR="00670757" w:rsidRPr="00844541">
        <w:rPr>
          <w:lang w:val="fr-FR"/>
        </w:rPr>
        <w:t>les intéressés ne peuvent se prévaloir en l</w:t>
      </w:r>
      <w:r w:rsidR="00844541">
        <w:rPr>
          <w:lang w:val="fr-FR"/>
        </w:rPr>
        <w:t>’</w:t>
      </w:r>
      <w:r w:rsidR="00670757" w:rsidRPr="00844541">
        <w:rPr>
          <w:lang w:val="fr-FR"/>
        </w:rPr>
        <w:t>espèce ni d</w:t>
      </w:r>
      <w:r w:rsidR="00844541">
        <w:rPr>
          <w:lang w:val="fr-FR"/>
        </w:rPr>
        <w:t>’</w:t>
      </w:r>
      <w:r w:rsidR="00670757" w:rsidRPr="00844541">
        <w:rPr>
          <w:lang w:val="fr-FR"/>
        </w:rPr>
        <w:t>un « bien » ni d</w:t>
      </w:r>
      <w:r w:rsidR="00844541">
        <w:rPr>
          <w:lang w:val="fr-FR"/>
        </w:rPr>
        <w:t>’</w:t>
      </w:r>
      <w:r w:rsidR="00670757" w:rsidRPr="00844541">
        <w:rPr>
          <w:lang w:val="fr-FR"/>
        </w:rPr>
        <w:t>une « espérance légitime » au sens de l</w:t>
      </w:r>
      <w:r w:rsidR="00844541">
        <w:rPr>
          <w:lang w:val="fr-FR"/>
        </w:rPr>
        <w:t>’</w:t>
      </w:r>
      <w:r w:rsidR="00670757" w:rsidRPr="00844541">
        <w:rPr>
          <w:lang w:val="fr-FR"/>
        </w:rPr>
        <w:t xml:space="preserve">article 1 du </w:t>
      </w:r>
      <w:r w:rsidR="00432D50" w:rsidRPr="00844541">
        <w:rPr>
          <w:lang w:val="fr-FR"/>
        </w:rPr>
        <w:t>Protocole</w:t>
      </w:r>
      <w:r w:rsidR="00981B26" w:rsidRPr="00844541">
        <w:rPr>
          <w:lang w:val="fr-FR"/>
        </w:rPr>
        <w:t xml:space="preserve"> </w:t>
      </w:r>
      <w:r w:rsidR="00670757" w:rsidRPr="00844541">
        <w:rPr>
          <w:lang w:val="fr-FR"/>
        </w:rPr>
        <w:t>n</w:t>
      </w:r>
      <w:r w:rsidR="00670757" w:rsidRPr="00844541">
        <w:rPr>
          <w:vertAlign w:val="superscript"/>
          <w:lang w:val="fr-FR"/>
        </w:rPr>
        <w:t>o</w:t>
      </w:r>
      <w:r w:rsidR="00981B26" w:rsidRPr="00844541">
        <w:rPr>
          <w:lang w:val="fr-FR"/>
        </w:rPr>
        <w:t> </w:t>
      </w:r>
      <w:r w:rsidR="00670757" w:rsidRPr="00844541">
        <w:rPr>
          <w:lang w:val="fr-FR"/>
        </w:rPr>
        <w:t>1 de la Convention.</w:t>
      </w:r>
    </w:p>
    <w:p w:rsidR="00C22E3D" w:rsidRPr="00844541" w:rsidRDefault="004C1AE4"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144</w:t>
      </w:r>
      <w:r w:rsidRPr="00844541">
        <w:rPr>
          <w:noProof/>
        </w:rPr>
        <w:fldChar w:fldCharType="end"/>
      </w:r>
      <w:r w:rsidR="00DD025F" w:rsidRPr="00844541">
        <w:rPr>
          <w:lang w:val="fr-FR"/>
        </w:rPr>
        <w:t>.  </w:t>
      </w:r>
      <w:r w:rsidR="00C22E3D" w:rsidRPr="00844541">
        <w:rPr>
          <w:lang w:val="fr-FR"/>
        </w:rPr>
        <w:t>Le Gouvernement estime que les requérants n</w:t>
      </w:r>
      <w:r w:rsidR="00844541">
        <w:rPr>
          <w:lang w:val="fr-FR"/>
        </w:rPr>
        <w:t>’</w:t>
      </w:r>
      <w:r w:rsidR="00C22E3D" w:rsidRPr="00844541">
        <w:rPr>
          <w:lang w:val="fr-FR"/>
        </w:rPr>
        <w:t>ont pas démontré avoir subi une discrimination et qu</w:t>
      </w:r>
      <w:r w:rsidR="00844541">
        <w:rPr>
          <w:lang w:val="fr-FR"/>
        </w:rPr>
        <w:t>’</w:t>
      </w:r>
      <w:r w:rsidR="00C22E3D" w:rsidRPr="00844541">
        <w:rPr>
          <w:lang w:val="fr-FR"/>
        </w:rPr>
        <w:t>en tout état de cause, ils n</w:t>
      </w:r>
      <w:r w:rsidR="00844541">
        <w:rPr>
          <w:lang w:val="fr-FR"/>
        </w:rPr>
        <w:t>’</w:t>
      </w:r>
      <w:r w:rsidR="00C22E3D" w:rsidRPr="00844541">
        <w:rPr>
          <w:lang w:val="fr-FR"/>
        </w:rPr>
        <w:t>ont pas fait l</w:t>
      </w:r>
      <w:r w:rsidR="00844541">
        <w:rPr>
          <w:lang w:val="fr-FR"/>
        </w:rPr>
        <w:t>’</w:t>
      </w:r>
      <w:r w:rsidR="00C22E3D" w:rsidRPr="00844541">
        <w:rPr>
          <w:lang w:val="fr-FR"/>
        </w:rPr>
        <w:t>objet d</w:t>
      </w:r>
      <w:r w:rsidR="00844541">
        <w:rPr>
          <w:lang w:val="fr-FR"/>
        </w:rPr>
        <w:t>’</w:t>
      </w:r>
      <w:r w:rsidR="00C22E3D" w:rsidRPr="00844541">
        <w:rPr>
          <w:lang w:val="fr-FR"/>
        </w:rPr>
        <w:t>un traitement discriminatoire en l</w:t>
      </w:r>
      <w:r w:rsidR="00844541">
        <w:rPr>
          <w:lang w:val="fr-FR"/>
        </w:rPr>
        <w:t>’</w:t>
      </w:r>
      <w:r w:rsidR="00C22E3D" w:rsidRPr="00844541">
        <w:rPr>
          <w:lang w:val="fr-FR"/>
        </w:rPr>
        <w:t>espèce.</w:t>
      </w:r>
    </w:p>
    <w:p w:rsidR="005621C6" w:rsidRPr="00844541" w:rsidRDefault="00DD5CB4" w:rsidP="00844541">
      <w:pPr>
        <w:pStyle w:val="ECHRHeading4"/>
      </w:pPr>
      <w:r w:rsidRPr="00844541">
        <w:t>b)</w:t>
      </w:r>
      <w:r w:rsidR="00C37E41" w:rsidRPr="00844541">
        <w:t>  </w:t>
      </w:r>
      <w:r w:rsidRPr="00844541">
        <w:t>Les requérants</w:t>
      </w:r>
    </w:p>
    <w:p w:rsidR="00B43D08"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145</w:t>
      </w:r>
      <w:r w:rsidRPr="00844541">
        <w:rPr>
          <w:noProof/>
        </w:rPr>
        <w:fldChar w:fldCharType="end"/>
      </w:r>
      <w:r w:rsidR="00FC2765" w:rsidRPr="00844541">
        <w:rPr>
          <w:lang w:val="fr-FR"/>
        </w:rPr>
        <w:t>.  </w:t>
      </w:r>
      <w:r w:rsidR="00A70A2E" w:rsidRPr="00844541">
        <w:rPr>
          <w:lang w:val="fr-FR"/>
        </w:rPr>
        <w:t xml:space="preserve">Les requérants estiment que leur grief est recevable. Ils </w:t>
      </w:r>
      <w:r w:rsidR="00510100" w:rsidRPr="00844541">
        <w:rPr>
          <w:lang w:val="fr-FR"/>
        </w:rPr>
        <w:t>considèrent</w:t>
      </w:r>
      <w:r w:rsidR="00A70A2E" w:rsidRPr="00844541">
        <w:rPr>
          <w:lang w:val="fr-FR"/>
        </w:rPr>
        <w:t xml:space="preserve"> que, dans le contexte factuel particulier de l</w:t>
      </w:r>
      <w:r w:rsidR="00844541">
        <w:rPr>
          <w:lang w:val="fr-FR"/>
        </w:rPr>
        <w:t>’</w:t>
      </w:r>
      <w:r w:rsidR="00A70A2E" w:rsidRPr="00844541">
        <w:rPr>
          <w:lang w:val="fr-FR"/>
        </w:rPr>
        <w:t>affaire, l</w:t>
      </w:r>
      <w:r w:rsidR="00844541">
        <w:rPr>
          <w:lang w:val="fr-FR"/>
        </w:rPr>
        <w:t>’</w:t>
      </w:r>
      <w:r w:rsidR="00A70A2E" w:rsidRPr="00844541">
        <w:rPr>
          <w:lang w:val="fr-FR"/>
        </w:rPr>
        <w:t>article 480 du code civil</w:t>
      </w:r>
      <w:r w:rsidR="00844161" w:rsidRPr="00844541">
        <w:rPr>
          <w:lang w:val="fr-FR"/>
        </w:rPr>
        <w:t>, qui régirait</w:t>
      </w:r>
      <w:r w:rsidR="00A70A2E" w:rsidRPr="00844541">
        <w:rPr>
          <w:lang w:val="fr-FR"/>
        </w:rPr>
        <w:t xml:space="preserve"> l</w:t>
      </w:r>
      <w:r w:rsidR="00844541">
        <w:rPr>
          <w:lang w:val="fr-FR"/>
        </w:rPr>
        <w:t>’</w:t>
      </w:r>
      <w:r w:rsidR="00A70A2E" w:rsidRPr="00844541">
        <w:rPr>
          <w:lang w:val="fr-FR"/>
        </w:rPr>
        <w:t>action en revendication</w:t>
      </w:r>
      <w:r w:rsidR="00844161" w:rsidRPr="00844541">
        <w:rPr>
          <w:lang w:val="fr-FR"/>
        </w:rPr>
        <w:t>,</w:t>
      </w:r>
      <w:r w:rsidR="00A70A2E" w:rsidRPr="00844541">
        <w:rPr>
          <w:lang w:val="fr-FR"/>
        </w:rPr>
        <w:t xml:space="preserve"> combiné avec les modifications apportées à l</w:t>
      </w:r>
      <w:r w:rsidR="00844541">
        <w:rPr>
          <w:lang w:val="fr-FR"/>
        </w:rPr>
        <w:t>’</w:t>
      </w:r>
      <w:r w:rsidR="00A70A2E" w:rsidRPr="00844541">
        <w:rPr>
          <w:lang w:val="fr-FR"/>
        </w:rPr>
        <w:t>article 3 du décret-loi n</w:t>
      </w:r>
      <w:r w:rsidR="00A70A2E" w:rsidRPr="00844541">
        <w:rPr>
          <w:vertAlign w:val="superscript"/>
          <w:lang w:val="fr-FR"/>
        </w:rPr>
        <w:t>o</w:t>
      </w:r>
      <w:r w:rsidR="00A70A2E" w:rsidRPr="00844541">
        <w:rPr>
          <w:lang w:val="fr-FR"/>
        </w:rPr>
        <w:t xml:space="preserve"> 126/1990</w:t>
      </w:r>
      <w:r w:rsidR="00510100" w:rsidRPr="00844541">
        <w:rPr>
          <w:lang w:val="fr-FR"/>
        </w:rPr>
        <w:t>,</w:t>
      </w:r>
      <w:r w:rsidR="00A70A2E" w:rsidRPr="00844541">
        <w:rPr>
          <w:lang w:val="fr-FR"/>
        </w:rPr>
        <w:t xml:space="preserve"> qui p</w:t>
      </w:r>
      <w:r w:rsidR="00F20E70" w:rsidRPr="00844541">
        <w:rPr>
          <w:lang w:val="fr-FR"/>
        </w:rPr>
        <w:t>révoi</w:t>
      </w:r>
      <w:r w:rsidR="00844161" w:rsidRPr="00844541">
        <w:rPr>
          <w:lang w:val="fr-FR"/>
        </w:rPr>
        <w:t>rait</w:t>
      </w:r>
      <w:r w:rsidR="00F20E70" w:rsidRPr="00844541">
        <w:rPr>
          <w:lang w:val="fr-FR"/>
        </w:rPr>
        <w:t xml:space="preserve"> pour les</w:t>
      </w:r>
      <w:r w:rsidR="00A70A2E" w:rsidRPr="00844541">
        <w:rPr>
          <w:lang w:val="fr-FR"/>
        </w:rPr>
        <w:t xml:space="preserve"> églises gréco-catholiques </w:t>
      </w:r>
      <w:r w:rsidR="00F20E70" w:rsidRPr="00844541">
        <w:rPr>
          <w:lang w:val="fr-FR"/>
        </w:rPr>
        <w:t>un</w:t>
      </w:r>
      <w:r w:rsidR="00A70A2E" w:rsidRPr="00844541">
        <w:rPr>
          <w:lang w:val="fr-FR"/>
        </w:rPr>
        <w:t xml:space="preserve"> droit d</w:t>
      </w:r>
      <w:r w:rsidR="00844541">
        <w:rPr>
          <w:lang w:val="fr-FR"/>
        </w:rPr>
        <w:t>’</w:t>
      </w:r>
      <w:r w:rsidR="00A70A2E" w:rsidRPr="00844541">
        <w:rPr>
          <w:lang w:val="fr-FR"/>
        </w:rPr>
        <w:t>agir en justice afin d</w:t>
      </w:r>
      <w:r w:rsidR="00844541">
        <w:rPr>
          <w:lang w:val="fr-FR"/>
        </w:rPr>
        <w:t>’</w:t>
      </w:r>
      <w:r w:rsidR="00A70A2E" w:rsidRPr="00844541">
        <w:rPr>
          <w:lang w:val="fr-FR"/>
        </w:rPr>
        <w:t>obtenir la restitution des lieux d</w:t>
      </w:r>
      <w:r w:rsidR="00510100" w:rsidRPr="00844541">
        <w:rPr>
          <w:lang w:val="fr-FR"/>
        </w:rPr>
        <w:t>e</w:t>
      </w:r>
      <w:r w:rsidR="00A70A2E" w:rsidRPr="00844541">
        <w:rPr>
          <w:lang w:val="fr-FR"/>
        </w:rPr>
        <w:t xml:space="preserve"> culte, constitue au moins une « espérance légitime » quant au droit de propriété sur l</w:t>
      </w:r>
      <w:r w:rsidR="00844541">
        <w:rPr>
          <w:lang w:val="fr-FR"/>
        </w:rPr>
        <w:t>’</w:t>
      </w:r>
      <w:r w:rsidR="00A70A2E" w:rsidRPr="00844541">
        <w:rPr>
          <w:lang w:val="fr-FR"/>
        </w:rPr>
        <w:t xml:space="preserve">église. </w:t>
      </w:r>
      <w:r w:rsidR="00600D42" w:rsidRPr="00844541">
        <w:rPr>
          <w:lang w:val="fr-FR"/>
        </w:rPr>
        <w:t>Ils estiment que</w:t>
      </w:r>
      <w:r w:rsidR="00F91636" w:rsidRPr="00844541">
        <w:rPr>
          <w:lang w:val="fr-FR"/>
        </w:rPr>
        <w:t xml:space="preserve"> la</w:t>
      </w:r>
      <w:r w:rsidR="00A70A2E" w:rsidRPr="00844541">
        <w:rPr>
          <w:lang w:val="fr-FR"/>
        </w:rPr>
        <w:t xml:space="preserve"> reconnaissance </w:t>
      </w:r>
      <w:r w:rsidR="00F91636" w:rsidRPr="00844541">
        <w:rPr>
          <w:lang w:val="fr-FR"/>
        </w:rPr>
        <w:t xml:space="preserve">officielle de leur </w:t>
      </w:r>
      <w:r w:rsidR="00F91636" w:rsidRPr="00844541">
        <w:rPr>
          <w:rFonts w:cstheme="minorHAnsi"/>
          <w:lang w:val="fr-FR"/>
        </w:rPr>
        <w:t>É</w:t>
      </w:r>
      <w:r w:rsidR="00F91636" w:rsidRPr="00844541">
        <w:rPr>
          <w:lang w:val="fr-FR"/>
        </w:rPr>
        <w:t>glise a rétabli celle-ci dans tous l</w:t>
      </w:r>
      <w:r w:rsidR="00A70A2E" w:rsidRPr="00844541">
        <w:rPr>
          <w:lang w:val="fr-FR"/>
        </w:rPr>
        <w:t xml:space="preserve">es droits et obligations </w:t>
      </w:r>
      <w:r w:rsidR="00F91636" w:rsidRPr="00844541">
        <w:rPr>
          <w:lang w:val="fr-FR"/>
        </w:rPr>
        <w:t>qui étaient les siens avant sa dissolution en</w:t>
      </w:r>
      <w:r w:rsidR="00A70A2E" w:rsidRPr="00844541">
        <w:rPr>
          <w:lang w:val="fr-FR"/>
        </w:rPr>
        <w:t xml:space="preserve"> 1948, y compris le droit de propriété sur l</w:t>
      </w:r>
      <w:r w:rsidR="00844541">
        <w:rPr>
          <w:lang w:val="fr-FR"/>
        </w:rPr>
        <w:t>’</w:t>
      </w:r>
      <w:r w:rsidR="00A70A2E" w:rsidRPr="00844541">
        <w:rPr>
          <w:lang w:val="fr-FR"/>
        </w:rPr>
        <w:t xml:space="preserve">église. </w:t>
      </w:r>
      <w:r w:rsidR="00600D42" w:rsidRPr="00844541">
        <w:rPr>
          <w:lang w:val="fr-FR"/>
        </w:rPr>
        <w:t xml:space="preserve">Ils indiquent également que </w:t>
      </w:r>
      <w:r w:rsidR="00A70A2E" w:rsidRPr="00844541">
        <w:rPr>
          <w:lang w:val="fr-FR"/>
        </w:rPr>
        <w:t>l</w:t>
      </w:r>
      <w:r w:rsidR="00844541">
        <w:rPr>
          <w:lang w:val="fr-FR"/>
        </w:rPr>
        <w:t>’</w:t>
      </w:r>
      <w:r w:rsidR="00A70A2E" w:rsidRPr="00844541">
        <w:rPr>
          <w:lang w:val="fr-FR"/>
        </w:rPr>
        <w:t xml:space="preserve">église </w:t>
      </w:r>
      <w:r w:rsidR="00F20E70" w:rsidRPr="00844541">
        <w:rPr>
          <w:lang w:val="fr-FR"/>
        </w:rPr>
        <w:t>o</w:t>
      </w:r>
      <w:r w:rsidR="00A70A2E" w:rsidRPr="00844541">
        <w:rPr>
          <w:lang w:val="fr-FR"/>
        </w:rPr>
        <w:t>rthodoxe a</w:t>
      </w:r>
      <w:r w:rsidR="00600D42" w:rsidRPr="00844541">
        <w:rPr>
          <w:lang w:val="fr-FR"/>
        </w:rPr>
        <w:t>vait</w:t>
      </w:r>
      <w:r w:rsidR="00A70A2E" w:rsidRPr="00844541">
        <w:rPr>
          <w:lang w:val="fr-FR"/>
        </w:rPr>
        <w:t xml:space="preserve"> pris possession de l</w:t>
      </w:r>
      <w:r w:rsidR="00844541">
        <w:rPr>
          <w:lang w:val="fr-FR"/>
        </w:rPr>
        <w:t>’</w:t>
      </w:r>
      <w:r w:rsidR="00A70A2E" w:rsidRPr="00844541">
        <w:rPr>
          <w:lang w:val="fr-FR"/>
        </w:rPr>
        <w:t xml:space="preserve">église et </w:t>
      </w:r>
      <w:r w:rsidR="00600D42" w:rsidRPr="00844541">
        <w:rPr>
          <w:lang w:val="fr-FR"/>
        </w:rPr>
        <w:t>qu</w:t>
      </w:r>
      <w:r w:rsidR="00844541">
        <w:rPr>
          <w:lang w:val="fr-FR"/>
        </w:rPr>
        <w:t>’</w:t>
      </w:r>
      <w:r w:rsidR="00600D42" w:rsidRPr="00844541">
        <w:rPr>
          <w:lang w:val="fr-FR"/>
        </w:rPr>
        <w:t xml:space="preserve">elle </w:t>
      </w:r>
      <w:r w:rsidR="00845637" w:rsidRPr="00844541">
        <w:rPr>
          <w:lang w:val="fr-FR"/>
        </w:rPr>
        <w:t>avait abusivement fait inscrire celle-ci à son nom</w:t>
      </w:r>
      <w:r w:rsidR="00A70A2E" w:rsidRPr="00844541">
        <w:rPr>
          <w:lang w:val="fr-FR"/>
        </w:rPr>
        <w:t xml:space="preserve"> dans le livre foncier. </w:t>
      </w:r>
      <w:r w:rsidR="00600D42" w:rsidRPr="00844541">
        <w:rPr>
          <w:lang w:val="fr-FR"/>
        </w:rPr>
        <w:t>Ils en déduisent que</w:t>
      </w:r>
      <w:r w:rsidR="00A70A2E" w:rsidRPr="00844541">
        <w:rPr>
          <w:lang w:val="fr-FR"/>
        </w:rPr>
        <w:t xml:space="preserve"> toutes les </w:t>
      </w:r>
      <w:r w:rsidR="002C315F" w:rsidRPr="00844541">
        <w:rPr>
          <w:lang w:val="fr-FR"/>
        </w:rPr>
        <w:t>prémisses</w:t>
      </w:r>
      <w:r w:rsidR="00A70A2E" w:rsidRPr="00844541">
        <w:rPr>
          <w:lang w:val="fr-FR"/>
        </w:rPr>
        <w:t xml:space="preserve"> </w:t>
      </w:r>
      <w:r w:rsidR="00A70A2E" w:rsidRPr="00844541">
        <w:rPr>
          <w:lang w:val="fr-FR"/>
        </w:rPr>
        <w:lastRenderedPageBreak/>
        <w:t>factuel</w:t>
      </w:r>
      <w:r w:rsidR="00C53A5F" w:rsidRPr="00844541">
        <w:rPr>
          <w:lang w:val="fr-FR"/>
        </w:rPr>
        <w:t>l</w:t>
      </w:r>
      <w:r w:rsidR="002139FE" w:rsidRPr="00844541">
        <w:rPr>
          <w:lang w:val="fr-FR"/>
        </w:rPr>
        <w:t>e</w:t>
      </w:r>
      <w:r w:rsidR="00A70A2E" w:rsidRPr="00844541">
        <w:rPr>
          <w:lang w:val="fr-FR"/>
        </w:rPr>
        <w:t xml:space="preserve">s et légales existaient pour créer une espérance légitime </w:t>
      </w:r>
      <w:r w:rsidR="0008400B" w:rsidRPr="00844541">
        <w:rPr>
          <w:lang w:val="fr-FR"/>
        </w:rPr>
        <w:t xml:space="preserve">de voir </w:t>
      </w:r>
      <w:r w:rsidR="00A70A2E" w:rsidRPr="00844541">
        <w:rPr>
          <w:lang w:val="fr-FR"/>
        </w:rPr>
        <w:t>le lieu de culte</w:t>
      </w:r>
      <w:r w:rsidR="0008400B" w:rsidRPr="00844541">
        <w:rPr>
          <w:lang w:val="fr-FR"/>
        </w:rPr>
        <w:t xml:space="preserve"> réintégrer leur patrimoine</w:t>
      </w:r>
      <w:r w:rsidR="00A70A2E" w:rsidRPr="00844541">
        <w:rPr>
          <w:lang w:val="fr-FR"/>
        </w:rPr>
        <w:t xml:space="preserve">. Ils </w:t>
      </w:r>
      <w:r w:rsidR="00600D42" w:rsidRPr="00844541">
        <w:rPr>
          <w:lang w:val="fr-FR"/>
        </w:rPr>
        <w:t xml:space="preserve">considèrent enfin </w:t>
      </w:r>
      <w:r w:rsidR="00A70A2E" w:rsidRPr="00844541">
        <w:rPr>
          <w:lang w:val="fr-FR"/>
        </w:rPr>
        <w:t>que</w:t>
      </w:r>
      <w:r w:rsidR="00510100" w:rsidRPr="00844541">
        <w:rPr>
          <w:lang w:val="fr-FR"/>
        </w:rPr>
        <w:t>,</w:t>
      </w:r>
      <w:r w:rsidR="00A70A2E" w:rsidRPr="00844541">
        <w:rPr>
          <w:lang w:val="fr-FR"/>
        </w:rPr>
        <w:t xml:space="preserve"> </w:t>
      </w:r>
      <w:r w:rsidR="00F20E70" w:rsidRPr="00844541">
        <w:rPr>
          <w:lang w:val="fr-FR"/>
        </w:rPr>
        <w:t xml:space="preserve">si </w:t>
      </w:r>
      <w:r w:rsidR="00A70A2E" w:rsidRPr="00844541">
        <w:rPr>
          <w:lang w:val="fr-FR"/>
        </w:rPr>
        <w:t xml:space="preserve">les juridictions internes </w:t>
      </w:r>
      <w:r w:rsidR="00F20E70" w:rsidRPr="00844541">
        <w:rPr>
          <w:lang w:val="fr-FR"/>
        </w:rPr>
        <w:t>avaient</w:t>
      </w:r>
      <w:r w:rsidR="00A70A2E" w:rsidRPr="00844541">
        <w:rPr>
          <w:lang w:val="fr-FR"/>
        </w:rPr>
        <w:t xml:space="preserve"> appliqué le droit c</w:t>
      </w:r>
      <w:r w:rsidR="00F20E70" w:rsidRPr="00844541">
        <w:rPr>
          <w:lang w:val="fr-FR"/>
        </w:rPr>
        <w:t>ommun</w:t>
      </w:r>
      <w:r w:rsidR="00A70A2E" w:rsidRPr="00844541">
        <w:rPr>
          <w:lang w:val="fr-FR"/>
        </w:rPr>
        <w:t xml:space="preserve"> dans le</w:t>
      </w:r>
      <w:r w:rsidR="0008400B" w:rsidRPr="00844541">
        <w:rPr>
          <w:lang w:val="fr-FR"/>
        </w:rPr>
        <w:t>ur</w:t>
      </w:r>
      <w:r w:rsidR="00A70A2E" w:rsidRPr="00844541">
        <w:rPr>
          <w:lang w:val="fr-FR"/>
        </w:rPr>
        <w:t xml:space="preserve"> action en revendication et non pas le critère de la volonté des </w:t>
      </w:r>
      <w:r w:rsidR="0008400B" w:rsidRPr="00844541">
        <w:rPr>
          <w:lang w:val="fr-FR"/>
        </w:rPr>
        <w:t xml:space="preserve">fidèles fixé </w:t>
      </w:r>
      <w:r w:rsidR="00A70A2E" w:rsidRPr="00844541">
        <w:rPr>
          <w:lang w:val="fr-FR"/>
        </w:rPr>
        <w:t>par la loi spéciale</w:t>
      </w:r>
      <w:r w:rsidR="00995CEA" w:rsidRPr="00844541">
        <w:rPr>
          <w:lang w:val="fr-FR"/>
        </w:rPr>
        <w:t>, l</w:t>
      </w:r>
      <w:r w:rsidR="00844541">
        <w:rPr>
          <w:lang w:val="fr-FR"/>
        </w:rPr>
        <w:t>’</w:t>
      </w:r>
      <w:r w:rsidR="00995CEA" w:rsidRPr="00844541">
        <w:rPr>
          <w:lang w:val="fr-FR"/>
        </w:rPr>
        <w:t xml:space="preserve">église objet du litige </w:t>
      </w:r>
      <w:r w:rsidR="00F20E70" w:rsidRPr="00844541">
        <w:rPr>
          <w:lang w:val="fr-FR"/>
        </w:rPr>
        <w:t>aurait</w:t>
      </w:r>
      <w:r w:rsidR="00A70A2E" w:rsidRPr="00844541">
        <w:rPr>
          <w:lang w:val="fr-FR"/>
        </w:rPr>
        <w:t xml:space="preserve"> </w:t>
      </w:r>
      <w:r w:rsidR="00995CEA" w:rsidRPr="00844541">
        <w:rPr>
          <w:lang w:val="fr-FR"/>
        </w:rPr>
        <w:t xml:space="preserve">été restituée </w:t>
      </w:r>
      <w:r w:rsidR="0008400B" w:rsidRPr="00844541">
        <w:rPr>
          <w:lang w:val="fr-FR"/>
        </w:rPr>
        <w:t>à l</w:t>
      </w:r>
      <w:r w:rsidR="00730AAF" w:rsidRPr="00844541">
        <w:rPr>
          <w:lang w:val="fr-FR"/>
        </w:rPr>
        <w:t>eur</w:t>
      </w:r>
      <w:r w:rsidR="0008400B" w:rsidRPr="00844541">
        <w:rPr>
          <w:lang w:val="fr-FR"/>
        </w:rPr>
        <w:t xml:space="preserve"> </w:t>
      </w:r>
      <w:r w:rsidR="00A70A2E" w:rsidRPr="00844541">
        <w:rPr>
          <w:lang w:val="fr-FR"/>
        </w:rPr>
        <w:t>paroisse.</w:t>
      </w:r>
    </w:p>
    <w:p w:rsidR="00B27294" w:rsidRPr="00844541" w:rsidRDefault="004C1AE4"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146</w:t>
      </w:r>
      <w:r w:rsidRPr="00844541">
        <w:rPr>
          <w:noProof/>
        </w:rPr>
        <w:fldChar w:fldCharType="end"/>
      </w:r>
      <w:r w:rsidR="00DD025F" w:rsidRPr="00844541">
        <w:rPr>
          <w:lang w:val="fr-FR"/>
        </w:rPr>
        <w:t>.  </w:t>
      </w:r>
      <w:r w:rsidR="00B27294" w:rsidRPr="00844541">
        <w:rPr>
          <w:lang w:val="fr-FR"/>
        </w:rPr>
        <w:t>Les requérants estiment avoir été victime d</w:t>
      </w:r>
      <w:r w:rsidR="00844541">
        <w:rPr>
          <w:lang w:val="fr-FR"/>
        </w:rPr>
        <w:t>’</w:t>
      </w:r>
      <w:r w:rsidR="00B27294" w:rsidRPr="00844541">
        <w:rPr>
          <w:lang w:val="fr-FR"/>
        </w:rPr>
        <w:t>une discrimination tant en raison du critère adopté par la loi régissant la restitution des lieux de culte que de son application en l</w:t>
      </w:r>
      <w:r w:rsidR="00844541">
        <w:rPr>
          <w:lang w:val="fr-FR"/>
        </w:rPr>
        <w:t>’</w:t>
      </w:r>
      <w:r w:rsidR="00B27294" w:rsidRPr="00844541">
        <w:rPr>
          <w:lang w:val="fr-FR"/>
        </w:rPr>
        <w:t>espèce, alors que d</w:t>
      </w:r>
      <w:r w:rsidR="00844541">
        <w:rPr>
          <w:lang w:val="fr-FR"/>
        </w:rPr>
        <w:t>’</w:t>
      </w:r>
      <w:r w:rsidR="00B27294" w:rsidRPr="00844541">
        <w:rPr>
          <w:lang w:val="fr-FR"/>
        </w:rPr>
        <w:t>autres juridictions internes ont tranché les actions en revendication en suivant les règles du droit commun.</w:t>
      </w:r>
    </w:p>
    <w:p w:rsidR="006D64D6" w:rsidRPr="00844541" w:rsidRDefault="006D64D6" w:rsidP="00844541">
      <w:pPr>
        <w:pStyle w:val="ECHRHeading3"/>
      </w:pPr>
      <w:r w:rsidRPr="00844541">
        <w:t>2.</w:t>
      </w:r>
      <w:r w:rsidR="00C37E41" w:rsidRPr="00844541">
        <w:t>  </w:t>
      </w:r>
      <w:r w:rsidRPr="00844541">
        <w:t>L</w:t>
      </w:r>
      <w:r w:rsidR="00844541">
        <w:t>’</w:t>
      </w:r>
      <w:r w:rsidRPr="00844541">
        <w:t>appréciation de la Cour</w:t>
      </w:r>
    </w:p>
    <w:p w:rsidR="00B43D08" w:rsidRPr="00844541" w:rsidRDefault="00C017A6" w:rsidP="00844541">
      <w:pPr>
        <w:pStyle w:val="ECHRHeading4"/>
      </w:pPr>
      <w:r w:rsidRPr="00844541">
        <w:t>a)</w:t>
      </w:r>
      <w:r w:rsidR="00981B26" w:rsidRPr="00844541">
        <w:t>  </w:t>
      </w:r>
      <w:r w:rsidRPr="00844541">
        <w:t>Sur l</w:t>
      </w:r>
      <w:r w:rsidR="00EF6DED" w:rsidRPr="00844541">
        <w:t>a violation alléguée</w:t>
      </w:r>
      <w:r w:rsidRPr="00844541">
        <w:t xml:space="preserve"> de l</w:t>
      </w:r>
      <w:r w:rsidR="00844541">
        <w:t>’</w:t>
      </w:r>
      <w:r w:rsidRPr="00844541">
        <w:t>article 1 du Protocole n</w:t>
      </w:r>
      <w:r w:rsidRPr="00844541">
        <w:rPr>
          <w:vertAlign w:val="superscript"/>
        </w:rPr>
        <w:t>o</w:t>
      </w:r>
      <w:r w:rsidRPr="00844541">
        <w:t xml:space="preserve"> 1</w:t>
      </w:r>
    </w:p>
    <w:p w:rsidR="00D150D3"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147</w:t>
      </w:r>
      <w:r w:rsidRPr="00844541">
        <w:rPr>
          <w:noProof/>
        </w:rPr>
        <w:fldChar w:fldCharType="end"/>
      </w:r>
      <w:r w:rsidR="00FC2765" w:rsidRPr="00844541">
        <w:rPr>
          <w:lang w:val="fr-FR"/>
        </w:rPr>
        <w:t>.  </w:t>
      </w:r>
      <w:r w:rsidR="00D150D3" w:rsidRPr="00844541">
        <w:rPr>
          <w:lang w:val="fr-FR"/>
        </w:rPr>
        <w:t>La Cour se prononcer</w:t>
      </w:r>
      <w:r w:rsidR="004614A1" w:rsidRPr="00844541">
        <w:rPr>
          <w:lang w:val="fr-FR"/>
        </w:rPr>
        <w:t>a</w:t>
      </w:r>
      <w:r w:rsidR="00D150D3" w:rsidRPr="00844541">
        <w:rPr>
          <w:lang w:val="fr-FR"/>
        </w:rPr>
        <w:t xml:space="preserve"> sur l</w:t>
      </w:r>
      <w:r w:rsidR="00844541">
        <w:rPr>
          <w:lang w:val="fr-FR"/>
        </w:rPr>
        <w:t>’</w:t>
      </w:r>
      <w:r w:rsidR="00D150D3" w:rsidRPr="00844541">
        <w:rPr>
          <w:lang w:val="fr-FR"/>
        </w:rPr>
        <w:t xml:space="preserve">applicabilité </w:t>
      </w:r>
      <w:r w:rsidR="002F77DC" w:rsidRPr="00844541">
        <w:rPr>
          <w:lang w:val="fr-FR"/>
        </w:rPr>
        <w:t xml:space="preserve">à la présente espèce </w:t>
      </w:r>
      <w:r w:rsidR="00D150D3" w:rsidRPr="00844541">
        <w:rPr>
          <w:lang w:val="fr-FR"/>
        </w:rPr>
        <w:t>de l</w:t>
      </w:r>
      <w:r w:rsidR="00844541">
        <w:rPr>
          <w:lang w:val="fr-FR"/>
        </w:rPr>
        <w:t>’</w:t>
      </w:r>
      <w:r w:rsidR="00D150D3" w:rsidRPr="00844541">
        <w:rPr>
          <w:lang w:val="fr-FR"/>
        </w:rPr>
        <w:t>article 1 du Protocole n</w:t>
      </w:r>
      <w:r w:rsidR="00D150D3" w:rsidRPr="00844541">
        <w:rPr>
          <w:vertAlign w:val="superscript"/>
          <w:lang w:val="fr-FR"/>
        </w:rPr>
        <w:t>o</w:t>
      </w:r>
      <w:r w:rsidR="00D150D3" w:rsidRPr="00844541">
        <w:rPr>
          <w:lang w:val="fr-FR"/>
        </w:rPr>
        <w:t xml:space="preserve"> 1</w:t>
      </w:r>
      <w:r w:rsidR="002F77DC" w:rsidRPr="00844541">
        <w:rPr>
          <w:lang w:val="fr-FR"/>
        </w:rPr>
        <w:t xml:space="preserve"> à la Convention (paragraphe </w:t>
      </w:r>
      <w:r w:rsidR="00D3283D" w:rsidRPr="00844541">
        <w:fldChar w:fldCharType="begin"/>
      </w:r>
      <w:r w:rsidR="00D3283D" w:rsidRPr="00844541">
        <w:rPr>
          <w:lang w:val="fr-FR"/>
        </w:rPr>
        <w:instrText xml:space="preserve"> REF P142 \h </w:instrText>
      </w:r>
      <w:r w:rsidR="004C1AE4" w:rsidRPr="00844541">
        <w:rPr>
          <w:lang w:val="fr-FR"/>
        </w:rPr>
        <w:instrText xml:space="preserve"> \* MERGEFORMAT </w:instrText>
      </w:r>
      <w:r w:rsidR="00D3283D" w:rsidRPr="00844541">
        <w:fldChar w:fldCharType="separate"/>
      </w:r>
      <w:r w:rsidR="00767866">
        <w:rPr>
          <w:noProof/>
          <w:lang w:val="fr-FR"/>
        </w:rPr>
        <w:t>142</w:t>
      </w:r>
      <w:r w:rsidR="00D3283D" w:rsidRPr="00844541">
        <w:fldChar w:fldCharType="end"/>
      </w:r>
      <w:r w:rsidR="002F77DC" w:rsidRPr="00844541">
        <w:rPr>
          <w:lang w:val="fr-FR"/>
        </w:rPr>
        <w:t xml:space="preserve"> ci-dessus)</w:t>
      </w:r>
      <w:r w:rsidR="00D150D3" w:rsidRPr="00844541">
        <w:rPr>
          <w:lang w:val="fr-FR"/>
        </w:rPr>
        <w:t>.</w:t>
      </w:r>
    </w:p>
    <w:p w:rsidR="00B54B89" w:rsidRPr="00844541" w:rsidRDefault="00C017A6" w:rsidP="00844541">
      <w:pPr>
        <w:pStyle w:val="ECHRHeading5"/>
      </w:pPr>
      <w:r w:rsidRPr="00844541">
        <w:t>i.</w:t>
      </w:r>
      <w:r w:rsidR="00C37E41" w:rsidRPr="00844541">
        <w:t>  </w:t>
      </w:r>
      <w:r w:rsidR="00B54B89" w:rsidRPr="00844541">
        <w:t>Les principes applicables</w:t>
      </w:r>
    </w:p>
    <w:p w:rsidR="00810229"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148</w:t>
      </w:r>
      <w:r w:rsidRPr="00844541">
        <w:rPr>
          <w:noProof/>
        </w:rPr>
        <w:fldChar w:fldCharType="end"/>
      </w:r>
      <w:r w:rsidR="00FC2765" w:rsidRPr="00844541">
        <w:rPr>
          <w:lang w:val="fr-FR"/>
        </w:rPr>
        <w:t>.  </w:t>
      </w:r>
      <w:r w:rsidR="00504E7E" w:rsidRPr="00844541">
        <w:rPr>
          <w:lang w:val="fr-FR"/>
        </w:rPr>
        <w:t>L</w:t>
      </w:r>
      <w:r w:rsidR="00810229" w:rsidRPr="00844541">
        <w:rPr>
          <w:lang w:val="fr-FR"/>
        </w:rPr>
        <w:t>a Cour rappelle la jurisprudence constante des organes de la Convention selon laquelle des « biens » au sens de l</w:t>
      </w:r>
      <w:r w:rsidR="00844541">
        <w:rPr>
          <w:lang w:val="fr-FR"/>
        </w:rPr>
        <w:t>’</w:t>
      </w:r>
      <w:r w:rsidR="00810229" w:rsidRPr="00844541">
        <w:rPr>
          <w:lang w:val="fr-FR"/>
        </w:rPr>
        <w:t xml:space="preserve">article 1 du </w:t>
      </w:r>
      <w:r w:rsidR="00D6394C" w:rsidRPr="00844541">
        <w:rPr>
          <w:lang w:val="fr-FR"/>
        </w:rPr>
        <w:t>Protocole </w:t>
      </w:r>
      <w:r w:rsidR="00810229" w:rsidRPr="00844541">
        <w:rPr>
          <w:lang w:val="fr-FR"/>
        </w:rPr>
        <w:t>n</w:t>
      </w:r>
      <w:r w:rsidR="00810229" w:rsidRPr="00844541">
        <w:rPr>
          <w:vertAlign w:val="superscript"/>
          <w:lang w:val="fr-FR"/>
        </w:rPr>
        <w:t>o</w:t>
      </w:r>
      <w:r w:rsidR="00810229" w:rsidRPr="00844541">
        <w:rPr>
          <w:lang w:val="fr-FR"/>
        </w:rPr>
        <w:t xml:space="preserve"> 1 </w:t>
      </w:r>
      <w:r w:rsidR="00D6394C" w:rsidRPr="00844541">
        <w:rPr>
          <w:lang w:val="fr-FR"/>
        </w:rPr>
        <w:t xml:space="preserve">à la Convention </w:t>
      </w:r>
      <w:r w:rsidR="00810229" w:rsidRPr="00844541">
        <w:rPr>
          <w:lang w:val="fr-FR"/>
        </w:rPr>
        <w:t>peuvent être soit des « biens existants » (</w:t>
      </w:r>
      <w:r w:rsidR="00810229" w:rsidRPr="00844541">
        <w:rPr>
          <w:i/>
          <w:lang w:val="fr-FR"/>
        </w:rPr>
        <w:t xml:space="preserve">Malhous c. République tchèque </w:t>
      </w:r>
      <w:r w:rsidR="00810229" w:rsidRPr="00844541">
        <w:rPr>
          <w:lang w:val="fr-FR"/>
        </w:rPr>
        <w:t>(déc.) [GC], n</w:t>
      </w:r>
      <w:r w:rsidR="00810229" w:rsidRPr="00844541">
        <w:rPr>
          <w:vertAlign w:val="superscript"/>
          <w:lang w:val="fr-FR"/>
        </w:rPr>
        <w:t>o</w:t>
      </w:r>
      <w:r w:rsidR="00810229" w:rsidRPr="00844541">
        <w:rPr>
          <w:lang w:val="fr-FR"/>
        </w:rPr>
        <w:t xml:space="preserve"> 33071/96, 13 décembre 2000), soit des valeurs patrimoniales, y compris des créances, pour lesquelles un requérant peut prétendre avoir au moins une « espérance légitime » de les voir concrétiser (voir, par exemple, </w:t>
      </w:r>
      <w:r w:rsidR="00504E7E" w:rsidRPr="00844541">
        <w:rPr>
          <w:i/>
          <w:lang w:val="fr-FR"/>
        </w:rPr>
        <w:t>Pressos Compania Naviera S.A. et autres c. Belgique</w:t>
      </w:r>
      <w:r w:rsidR="00504E7E" w:rsidRPr="00844541">
        <w:rPr>
          <w:lang w:val="fr-FR"/>
        </w:rPr>
        <w:t>, 20 novembre 1995, série A n</w:t>
      </w:r>
      <w:r w:rsidR="00504E7E" w:rsidRPr="00844541">
        <w:rPr>
          <w:vertAlign w:val="superscript"/>
          <w:lang w:val="fr-FR"/>
        </w:rPr>
        <w:t>o</w:t>
      </w:r>
      <w:r w:rsidR="00504E7E" w:rsidRPr="00844541">
        <w:rPr>
          <w:lang w:val="fr-FR"/>
        </w:rPr>
        <w:t xml:space="preserve"> 332</w:t>
      </w:r>
      <w:r w:rsidR="003B16FC" w:rsidRPr="00844541">
        <w:rPr>
          <w:lang w:val="fr-FR"/>
        </w:rPr>
        <w:t>,</w:t>
      </w:r>
      <w:r w:rsidR="00810229" w:rsidRPr="00844541">
        <w:rPr>
          <w:lang w:val="fr-FR"/>
        </w:rPr>
        <w:t xml:space="preserve"> et </w:t>
      </w:r>
      <w:r w:rsidR="00810229" w:rsidRPr="00844541">
        <w:rPr>
          <w:i/>
          <w:lang w:val="fr-FR"/>
        </w:rPr>
        <w:t>Ouzounis et autres c. Grèce</w:t>
      </w:r>
      <w:r w:rsidR="00810229" w:rsidRPr="00844541">
        <w:rPr>
          <w:lang w:val="fr-FR"/>
        </w:rPr>
        <w:t>, n</w:t>
      </w:r>
      <w:r w:rsidR="00810229" w:rsidRPr="00844541">
        <w:rPr>
          <w:vertAlign w:val="superscript"/>
          <w:lang w:val="fr-FR"/>
        </w:rPr>
        <w:t>o</w:t>
      </w:r>
      <w:r w:rsidR="000212EF" w:rsidRPr="00844541">
        <w:rPr>
          <w:lang w:val="fr-FR"/>
        </w:rPr>
        <w:t> </w:t>
      </w:r>
      <w:r w:rsidR="00810229" w:rsidRPr="00844541">
        <w:rPr>
          <w:lang w:val="fr-FR"/>
        </w:rPr>
        <w:t xml:space="preserve">49144/99, </w:t>
      </w:r>
      <w:r w:rsidR="003B16FC" w:rsidRPr="00844541">
        <w:rPr>
          <w:lang w:val="fr-FR"/>
        </w:rPr>
        <w:t xml:space="preserve">§ 24, </w:t>
      </w:r>
      <w:r w:rsidR="00810229" w:rsidRPr="00844541">
        <w:rPr>
          <w:lang w:val="fr-FR"/>
        </w:rPr>
        <w:t>18 avril 2002). En revanche, ne sont pas à considérer comme des « biens » au sens de l</w:t>
      </w:r>
      <w:r w:rsidR="00844541">
        <w:rPr>
          <w:lang w:val="fr-FR"/>
        </w:rPr>
        <w:t>’</w:t>
      </w:r>
      <w:r w:rsidR="00810229" w:rsidRPr="00844541">
        <w:rPr>
          <w:lang w:val="fr-FR"/>
        </w:rPr>
        <w:t>article 1 du Protocole n</w:t>
      </w:r>
      <w:r w:rsidR="00810229" w:rsidRPr="00844541">
        <w:rPr>
          <w:vertAlign w:val="superscript"/>
          <w:lang w:val="fr-FR"/>
        </w:rPr>
        <w:t>o</w:t>
      </w:r>
      <w:r w:rsidR="00810229" w:rsidRPr="00844541">
        <w:rPr>
          <w:lang w:val="fr-FR"/>
        </w:rPr>
        <w:t xml:space="preserve"> 1 l</w:t>
      </w:r>
      <w:r w:rsidR="00844541">
        <w:rPr>
          <w:lang w:val="fr-FR"/>
        </w:rPr>
        <w:t>’</w:t>
      </w:r>
      <w:r w:rsidR="00810229" w:rsidRPr="00844541">
        <w:rPr>
          <w:lang w:val="fr-FR"/>
        </w:rPr>
        <w:t>espoir de voir revivre un droit de propriété qui s</w:t>
      </w:r>
      <w:r w:rsidR="00844541">
        <w:rPr>
          <w:lang w:val="fr-FR"/>
        </w:rPr>
        <w:t>’</w:t>
      </w:r>
      <w:r w:rsidR="00810229" w:rsidRPr="00844541">
        <w:rPr>
          <w:lang w:val="fr-FR"/>
        </w:rPr>
        <w:t>était éteint depuis longtemps, ni une créance conditionnelle qui se trouve caduque par suite de la non-réalisation de la condition (</w:t>
      </w:r>
      <w:r w:rsidR="00810229" w:rsidRPr="00844541">
        <w:rPr>
          <w:i/>
          <w:lang w:val="fr-FR"/>
        </w:rPr>
        <w:t>Gratzinger et Gratzingerova c</w:t>
      </w:r>
      <w:r w:rsidR="004614A1" w:rsidRPr="00844541">
        <w:rPr>
          <w:i/>
          <w:lang w:val="fr-FR"/>
        </w:rPr>
        <w:t>. </w:t>
      </w:r>
      <w:r w:rsidR="00810229" w:rsidRPr="00844541">
        <w:rPr>
          <w:i/>
          <w:lang w:val="fr-FR"/>
        </w:rPr>
        <w:t>République tchèque</w:t>
      </w:r>
      <w:r w:rsidR="00810229" w:rsidRPr="00844541">
        <w:rPr>
          <w:lang w:val="fr-FR"/>
        </w:rPr>
        <w:t xml:space="preserve"> (déc.) </w:t>
      </w:r>
      <w:r w:rsidR="00810229" w:rsidRPr="00844541">
        <w:rPr>
          <w:lang w:val="it-IT"/>
        </w:rPr>
        <w:t>[GC], n</w:t>
      </w:r>
      <w:r w:rsidR="00810229" w:rsidRPr="00844541">
        <w:rPr>
          <w:vertAlign w:val="superscript"/>
          <w:lang w:val="it-IT"/>
        </w:rPr>
        <w:t>o</w:t>
      </w:r>
      <w:r w:rsidR="00810229" w:rsidRPr="00844541">
        <w:rPr>
          <w:lang w:val="it-IT"/>
        </w:rPr>
        <w:t xml:space="preserve"> 39794/98, § 69, CEDH 2002</w:t>
      </w:r>
      <w:r w:rsidR="00810229" w:rsidRPr="00844541">
        <w:rPr>
          <w:lang w:val="it-IT"/>
        </w:rPr>
        <w:noBreakHyphen/>
        <w:t>VII).</w:t>
      </w:r>
    </w:p>
    <w:p w:rsidR="00B43D08"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149</w:t>
      </w:r>
      <w:r w:rsidRPr="00844541">
        <w:rPr>
          <w:noProof/>
        </w:rPr>
        <w:fldChar w:fldCharType="end"/>
      </w:r>
      <w:r w:rsidR="00FC2765" w:rsidRPr="00844541">
        <w:rPr>
          <w:lang w:val="fr-FR"/>
        </w:rPr>
        <w:t>.  </w:t>
      </w:r>
      <w:r w:rsidR="00884D25" w:rsidRPr="00844541">
        <w:rPr>
          <w:lang w:val="fr-FR"/>
        </w:rPr>
        <w:t>De plus, l</w:t>
      </w:r>
      <w:r w:rsidR="003F7295" w:rsidRPr="00844541">
        <w:rPr>
          <w:lang w:val="fr-FR"/>
        </w:rPr>
        <w:t>a Cour réaffirm</w:t>
      </w:r>
      <w:r w:rsidR="00504E7E" w:rsidRPr="00844541">
        <w:rPr>
          <w:lang w:val="fr-FR"/>
        </w:rPr>
        <w:t>e</w:t>
      </w:r>
      <w:r w:rsidR="003F7295" w:rsidRPr="00844541">
        <w:rPr>
          <w:lang w:val="fr-FR"/>
        </w:rPr>
        <w:t xml:space="preserve"> que la Convention n</w:t>
      </w:r>
      <w:r w:rsidR="00844541">
        <w:rPr>
          <w:lang w:val="fr-FR"/>
        </w:rPr>
        <w:t>’</w:t>
      </w:r>
      <w:r w:rsidR="003F7295" w:rsidRPr="00844541">
        <w:rPr>
          <w:lang w:val="fr-FR"/>
        </w:rPr>
        <w:t>impose aux États contractants aucune obligation spécifique de redresser les injustices ou dommages causés avant qu</w:t>
      </w:r>
      <w:r w:rsidR="00844541">
        <w:rPr>
          <w:lang w:val="fr-FR"/>
        </w:rPr>
        <w:t>’</w:t>
      </w:r>
      <w:r w:rsidR="003F7295" w:rsidRPr="00844541">
        <w:rPr>
          <w:lang w:val="fr-FR"/>
        </w:rPr>
        <w:t xml:space="preserve">ils ne ratifient la Convention. De même, </w:t>
      </w:r>
      <w:r w:rsidR="00541526" w:rsidRPr="00844541">
        <w:rPr>
          <w:lang w:val="fr-FR"/>
        </w:rPr>
        <w:t>l</w:t>
      </w:r>
      <w:r w:rsidR="00844541">
        <w:rPr>
          <w:lang w:val="fr-FR"/>
        </w:rPr>
        <w:t>’</w:t>
      </w:r>
      <w:r w:rsidR="00541526" w:rsidRPr="00844541">
        <w:rPr>
          <w:lang w:val="fr-FR"/>
        </w:rPr>
        <w:t>article </w:t>
      </w:r>
      <w:r w:rsidR="003F7295" w:rsidRPr="00844541">
        <w:rPr>
          <w:lang w:val="fr-FR"/>
        </w:rPr>
        <w:t>1 du Protocole n</w:t>
      </w:r>
      <w:r w:rsidR="003F7295" w:rsidRPr="00844541">
        <w:rPr>
          <w:vertAlign w:val="superscript"/>
          <w:lang w:val="fr-FR"/>
        </w:rPr>
        <w:t>o</w:t>
      </w:r>
      <w:r w:rsidR="003F7295" w:rsidRPr="00844541">
        <w:rPr>
          <w:lang w:val="fr-FR"/>
        </w:rPr>
        <w:t> 1 ne peut s</w:t>
      </w:r>
      <w:r w:rsidR="00844541">
        <w:rPr>
          <w:lang w:val="fr-FR"/>
        </w:rPr>
        <w:t>’</w:t>
      </w:r>
      <w:r w:rsidR="003F7295" w:rsidRPr="00844541">
        <w:rPr>
          <w:lang w:val="fr-FR"/>
        </w:rPr>
        <w:t xml:space="preserve">interpréter comme restreignant la liberté pour les États contractants de choisir les conditions </w:t>
      </w:r>
      <w:r w:rsidR="00634E45" w:rsidRPr="00844541">
        <w:rPr>
          <w:lang w:val="fr-FR"/>
        </w:rPr>
        <w:t xml:space="preserve">dans lesquelles la restitution des biens dont certaines personnes avaient été </w:t>
      </w:r>
      <w:r w:rsidR="00960456" w:rsidRPr="00844541">
        <w:rPr>
          <w:lang w:val="fr-FR"/>
        </w:rPr>
        <w:t>dépossédées</w:t>
      </w:r>
      <w:r w:rsidR="00634E45" w:rsidRPr="00844541">
        <w:rPr>
          <w:lang w:val="fr-FR"/>
        </w:rPr>
        <w:t xml:space="preserve"> </w:t>
      </w:r>
      <w:r w:rsidR="003F7295" w:rsidRPr="00844541">
        <w:rPr>
          <w:lang w:val="fr-FR"/>
        </w:rPr>
        <w:t>avant qu</w:t>
      </w:r>
      <w:r w:rsidR="00844541">
        <w:rPr>
          <w:lang w:val="fr-FR"/>
        </w:rPr>
        <w:t>’</w:t>
      </w:r>
      <w:r w:rsidR="003F7295" w:rsidRPr="00844541">
        <w:rPr>
          <w:lang w:val="fr-FR"/>
        </w:rPr>
        <w:t>ils ne ratifient la Convention (</w:t>
      </w:r>
      <w:r w:rsidR="003F7295" w:rsidRPr="00844541">
        <w:rPr>
          <w:i/>
          <w:lang w:val="it-IT"/>
        </w:rPr>
        <w:t xml:space="preserve">Kopecký c. Slovaquie </w:t>
      </w:r>
      <w:r w:rsidR="003F7295" w:rsidRPr="00844541">
        <w:rPr>
          <w:lang w:val="it-IT"/>
        </w:rPr>
        <w:t>[GC], n</w:t>
      </w:r>
      <w:r w:rsidR="003F7295" w:rsidRPr="00844541">
        <w:rPr>
          <w:vertAlign w:val="superscript"/>
          <w:lang w:val="it-IT"/>
        </w:rPr>
        <w:t>o</w:t>
      </w:r>
      <w:r w:rsidR="003F7295" w:rsidRPr="00844541">
        <w:rPr>
          <w:lang w:val="it-IT"/>
        </w:rPr>
        <w:t xml:space="preserve"> 44912/98, </w:t>
      </w:r>
      <w:r w:rsidR="00884D25" w:rsidRPr="00844541">
        <w:rPr>
          <w:lang w:val="it-IT"/>
        </w:rPr>
        <w:t>§ </w:t>
      </w:r>
      <w:r w:rsidR="003F7295" w:rsidRPr="00844541">
        <w:rPr>
          <w:lang w:val="it-IT"/>
        </w:rPr>
        <w:t>35, CEDH 2004</w:t>
      </w:r>
      <w:r w:rsidR="003F7295" w:rsidRPr="00844541">
        <w:rPr>
          <w:lang w:val="it-IT"/>
        </w:rPr>
        <w:noBreakHyphen/>
        <w:t>IX</w:t>
      </w:r>
      <w:r w:rsidR="003F7295" w:rsidRPr="00844541">
        <w:rPr>
          <w:lang w:val="fr-FR"/>
        </w:rPr>
        <w:t>).</w:t>
      </w:r>
    </w:p>
    <w:p w:rsidR="00491767" w:rsidRPr="00844541" w:rsidRDefault="00C017A6" w:rsidP="00844541">
      <w:pPr>
        <w:pStyle w:val="ECHRHeading5"/>
      </w:pPr>
      <w:r w:rsidRPr="00844541">
        <w:t>ii.</w:t>
      </w:r>
      <w:r w:rsidR="00C37E41" w:rsidRPr="00844541">
        <w:t>  </w:t>
      </w:r>
      <w:r w:rsidR="00491767" w:rsidRPr="00844541">
        <w:t>L</w:t>
      </w:r>
      <w:r w:rsidR="00844541">
        <w:t>’</w:t>
      </w:r>
      <w:r w:rsidR="00491767" w:rsidRPr="00844541">
        <w:t>application des principes en l</w:t>
      </w:r>
      <w:r w:rsidR="00844541">
        <w:t>’</w:t>
      </w:r>
      <w:r w:rsidR="00491767" w:rsidRPr="00844541">
        <w:t>espèce</w:t>
      </w:r>
    </w:p>
    <w:p w:rsidR="00B43D08"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150</w:t>
      </w:r>
      <w:r w:rsidRPr="00844541">
        <w:rPr>
          <w:noProof/>
        </w:rPr>
        <w:fldChar w:fldCharType="end"/>
      </w:r>
      <w:r w:rsidR="00FC2765" w:rsidRPr="00844541">
        <w:rPr>
          <w:lang w:val="fr-FR"/>
        </w:rPr>
        <w:t>.  </w:t>
      </w:r>
      <w:r w:rsidR="007776EF" w:rsidRPr="00844541">
        <w:rPr>
          <w:lang w:val="fr-FR"/>
        </w:rPr>
        <w:t xml:space="preserve">Dans </w:t>
      </w:r>
      <w:r w:rsidR="00541526" w:rsidRPr="00844541">
        <w:rPr>
          <w:lang w:val="fr-FR"/>
        </w:rPr>
        <w:t>la présente affaire</w:t>
      </w:r>
      <w:r w:rsidR="007776EF" w:rsidRPr="00844541">
        <w:rPr>
          <w:lang w:val="fr-FR"/>
        </w:rPr>
        <w:t xml:space="preserve">, </w:t>
      </w:r>
      <w:r w:rsidR="00541526" w:rsidRPr="00844541">
        <w:rPr>
          <w:lang w:val="fr-FR"/>
        </w:rPr>
        <w:t xml:space="preserve">la Cour note que </w:t>
      </w:r>
      <w:r w:rsidR="007776EF" w:rsidRPr="00844541">
        <w:rPr>
          <w:lang w:val="fr-FR"/>
        </w:rPr>
        <w:t xml:space="preserve">les requérants </w:t>
      </w:r>
      <w:r w:rsidR="00DE541D" w:rsidRPr="00844541">
        <w:rPr>
          <w:lang w:val="fr-FR"/>
        </w:rPr>
        <w:t>allèguent</w:t>
      </w:r>
      <w:r w:rsidR="00BB3166" w:rsidRPr="00844541">
        <w:rPr>
          <w:lang w:val="fr-FR"/>
        </w:rPr>
        <w:t xml:space="preserve"> </w:t>
      </w:r>
      <w:r w:rsidR="00DA1592" w:rsidRPr="00844541">
        <w:rPr>
          <w:lang w:val="fr-FR"/>
        </w:rPr>
        <w:t xml:space="preserve">avoir </w:t>
      </w:r>
      <w:r w:rsidR="007776EF" w:rsidRPr="00844541">
        <w:rPr>
          <w:lang w:val="fr-FR"/>
        </w:rPr>
        <w:t xml:space="preserve">perdu la </w:t>
      </w:r>
      <w:r w:rsidR="00A0307C" w:rsidRPr="00844541">
        <w:rPr>
          <w:lang w:val="fr-FR"/>
        </w:rPr>
        <w:t xml:space="preserve">possession et la </w:t>
      </w:r>
      <w:r w:rsidR="007776EF" w:rsidRPr="00844541">
        <w:rPr>
          <w:lang w:val="fr-FR"/>
        </w:rPr>
        <w:t>propriété de l</w:t>
      </w:r>
      <w:r w:rsidR="00844541">
        <w:rPr>
          <w:lang w:val="fr-FR"/>
        </w:rPr>
        <w:t>’</w:t>
      </w:r>
      <w:r w:rsidR="00A0307C" w:rsidRPr="00844541">
        <w:rPr>
          <w:lang w:val="fr-FR"/>
        </w:rPr>
        <w:t>é</w:t>
      </w:r>
      <w:r w:rsidR="000C6D99" w:rsidRPr="00844541">
        <w:rPr>
          <w:lang w:val="fr-FR"/>
        </w:rPr>
        <w:t>glise</w:t>
      </w:r>
      <w:r w:rsidR="007776EF" w:rsidRPr="00844541">
        <w:rPr>
          <w:lang w:val="fr-FR"/>
        </w:rPr>
        <w:t xml:space="preserve"> </w:t>
      </w:r>
      <w:r w:rsidR="00541526" w:rsidRPr="00844541">
        <w:rPr>
          <w:lang w:val="fr-FR"/>
        </w:rPr>
        <w:t>qu</w:t>
      </w:r>
      <w:r w:rsidR="00844541">
        <w:rPr>
          <w:lang w:val="fr-FR"/>
        </w:rPr>
        <w:t>’</w:t>
      </w:r>
      <w:r w:rsidR="00541526" w:rsidRPr="00844541">
        <w:rPr>
          <w:lang w:val="fr-FR"/>
        </w:rPr>
        <w:t xml:space="preserve">ils </w:t>
      </w:r>
      <w:r w:rsidR="007776EF" w:rsidRPr="00844541">
        <w:rPr>
          <w:lang w:val="fr-FR"/>
        </w:rPr>
        <w:t>revendiqu</w:t>
      </w:r>
      <w:r w:rsidR="00541526" w:rsidRPr="00844541">
        <w:rPr>
          <w:lang w:val="fr-FR"/>
        </w:rPr>
        <w:t>ent</w:t>
      </w:r>
      <w:r w:rsidR="007776EF" w:rsidRPr="00844541">
        <w:rPr>
          <w:lang w:val="fr-FR"/>
        </w:rPr>
        <w:t xml:space="preserve"> en </w:t>
      </w:r>
      <w:r w:rsidR="007776EF" w:rsidRPr="00844541">
        <w:rPr>
          <w:lang w:val="fr-FR"/>
        </w:rPr>
        <w:lastRenderedPageBreak/>
        <w:t>1948, soit avant la ratification de la Convent</w:t>
      </w:r>
      <w:r w:rsidR="00DE541D" w:rsidRPr="00844541">
        <w:rPr>
          <w:lang w:val="fr-FR"/>
        </w:rPr>
        <w:t>ion par la Roumanie, le 20 juin </w:t>
      </w:r>
      <w:r w:rsidR="007776EF" w:rsidRPr="00844541">
        <w:rPr>
          <w:lang w:val="fr-FR"/>
        </w:rPr>
        <w:t xml:space="preserve">1994. </w:t>
      </w:r>
      <w:r w:rsidR="00C463A3" w:rsidRPr="00844541">
        <w:rPr>
          <w:lang w:val="fr-FR"/>
        </w:rPr>
        <w:t xml:space="preserve">Ils ont engagé une action en justice </w:t>
      </w:r>
      <w:r w:rsidR="00D2417F" w:rsidRPr="00844541">
        <w:rPr>
          <w:lang w:val="fr-FR"/>
        </w:rPr>
        <w:t>aux fins de</w:t>
      </w:r>
      <w:r w:rsidR="00C463A3" w:rsidRPr="00844541">
        <w:rPr>
          <w:lang w:val="fr-FR"/>
        </w:rPr>
        <w:t xml:space="preserve"> la restitution du bien litigieu</w:t>
      </w:r>
      <w:r w:rsidR="00221726" w:rsidRPr="00844541">
        <w:rPr>
          <w:lang w:val="fr-FR"/>
        </w:rPr>
        <w:t>x</w:t>
      </w:r>
      <w:r w:rsidR="00C463A3" w:rsidRPr="00844541">
        <w:rPr>
          <w:lang w:val="fr-FR"/>
        </w:rPr>
        <w:t xml:space="preserve"> à la suite des modifications législatives qui reconn</w:t>
      </w:r>
      <w:r w:rsidR="00D2417F" w:rsidRPr="00844541">
        <w:rPr>
          <w:lang w:val="fr-FR"/>
        </w:rPr>
        <w:t>aissaient</w:t>
      </w:r>
      <w:r w:rsidR="00C463A3" w:rsidRPr="00844541">
        <w:rPr>
          <w:lang w:val="fr-FR"/>
        </w:rPr>
        <w:t xml:space="preserve"> leur culte et leur </w:t>
      </w:r>
      <w:r w:rsidR="00D2417F" w:rsidRPr="00844541">
        <w:rPr>
          <w:lang w:val="fr-FR"/>
        </w:rPr>
        <w:t>ouvraient</w:t>
      </w:r>
      <w:r w:rsidR="00C463A3" w:rsidRPr="00844541">
        <w:rPr>
          <w:lang w:val="fr-FR"/>
        </w:rPr>
        <w:t xml:space="preserve"> la voie en justice </w:t>
      </w:r>
      <w:r w:rsidR="00D2417F" w:rsidRPr="00844541">
        <w:rPr>
          <w:lang w:val="fr-FR"/>
        </w:rPr>
        <w:t>à cet égard</w:t>
      </w:r>
      <w:r w:rsidR="00C463A3" w:rsidRPr="00844541">
        <w:rPr>
          <w:lang w:val="fr-FR"/>
        </w:rPr>
        <w:t>.</w:t>
      </w:r>
    </w:p>
    <w:p w:rsidR="00383850"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151</w:t>
      </w:r>
      <w:r w:rsidRPr="00844541">
        <w:rPr>
          <w:noProof/>
        </w:rPr>
        <w:fldChar w:fldCharType="end"/>
      </w:r>
      <w:r w:rsidR="00C463A3" w:rsidRPr="00844541">
        <w:rPr>
          <w:lang w:val="fr-FR"/>
        </w:rPr>
        <w:t>.  Malgré l</w:t>
      </w:r>
      <w:r w:rsidR="001C6292" w:rsidRPr="00844541">
        <w:rPr>
          <w:lang w:val="fr-FR"/>
        </w:rPr>
        <w:t>a</w:t>
      </w:r>
      <w:r w:rsidR="00C463A3" w:rsidRPr="00844541">
        <w:rPr>
          <w:lang w:val="fr-FR"/>
        </w:rPr>
        <w:t xml:space="preserve"> réhabilitation judiciaire </w:t>
      </w:r>
      <w:r w:rsidR="001C6292" w:rsidRPr="00844541">
        <w:rPr>
          <w:lang w:val="fr-FR"/>
        </w:rPr>
        <w:t xml:space="preserve">de leur culte </w:t>
      </w:r>
      <w:r w:rsidR="00C463A3" w:rsidRPr="00844541">
        <w:rPr>
          <w:lang w:val="fr-FR"/>
        </w:rPr>
        <w:t>en 1990, leurs anciens biens étaient toujours détenus par l</w:t>
      </w:r>
      <w:r w:rsidR="00844541">
        <w:rPr>
          <w:lang w:val="fr-FR"/>
        </w:rPr>
        <w:t>’</w:t>
      </w:r>
      <w:r w:rsidR="00C463A3" w:rsidRPr="00844541">
        <w:rPr>
          <w:lang w:val="fr-FR"/>
        </w:rPr>
        <w:t>Église orthodoxe.</w:t>
      </w:r>
      <w:r w:rsidR="00A0307C" w:rsidRPr="00844541">
        <w:rPr>
          <w:lang w:val="fr-FR"/>
        </w:rPr>
        <w:t xml:space="preserve"> En effet, le décret-loi n</w:t>
      </w:r>
      <w:r w:rsidR="00A0307C" w:rsidRPr="00844541">
        <w:rPr>
          <w:vertAlign w:val="superscript"/>
          <w:lang w:val="fr-FR"/>
        </w:rPr>
        <w:t>o</w:t>
      </w:r>
      <w:r w:rsidR="00A0307C" w:rsidRPr="00844541">
        <w:rPr>
          <w:lang w:val="fr-FR"/>
        </w:rPr>
        <w:t> 126/1990</w:t>
      </w:r>
      <w:r w:rsidR="003850F7" w:rsidRPr="00844541">
        <w:rPr>
          <w:lang w:val="fr-FR"/>
        </w:rPr>
        <w:t>,</w:t>
      </w:r>
      <w:r w:rsidR="00A0307C" w:rsidRPr="00844541">
        <w:rPr>
          <w:lang w:val="fr-FR"/>
        </w:rPr>
        <w:t xml:space="preserve"> bien </w:t>
      </w:r>
      <w:r w:rsidR="0029351F" w:rsidRPr="00844541">
        <w:rPr>
          <w:lang w:val="fr-FR"/>
        </w:rPr>
        <w:t>que</w:t>
      </w:r>
      <w:r w:rsidR="00A0307C" w:rsidRPr="00844541">
        <w:rPr>
          <w:lang w:val="fr-FR"/>
        </w:rPr>
        <w:t xml:space="preserve"> reconn</w:t>
      </w:r>
      <w:r w:rsidR="0029351F" w:rsidRPr="00844541">
        <w:rPr>
          <w:lang w:val="fr-FR"/>
        </w:rPr>
        <w:t>aissant</w:t>
      </w:r>
      <w:r w:rsidR="00A0307C" w:rsidRPr="00844541">
        <w:rPr>
          <w:lang w:val="fr-FR"/>
        </w:rPr>
        <w:t xml:space="preserve"> officiellement l</w:t>
      </w:r>
      <w:r w:rsidR="00844541">
        <w:rPr>
          <w:lang w:val="fr-FR"/>
        </w:rPr>
        <w:t>’</w:t>
      </w:r>
      <w:r w:rsidR="00A0307C" w:rsidRPr="00844541">
        <w:rPr>
          <w:lang w:val="fr-FR"/>
        </w:rPr>
        <w:t xml:space="preserve">Église roumaine unie à Rome, </w:t>
      </w:r>
      <w:r w:rsidR="0029351F" w:rsidRPr="00844541">
        <w:rPr>
          <w:lang w:val="fr-FR"/>
        </w:rPr>
        <w:t>énonçait</w:t>
      </w:r>
      <w:r w:rsidR="00A0307C" w:rsidRPr="00844541">
        <w:rPr>
          <w:lang w:val="fr-FR"/>
        </w:rPr>
        <w:t xml:space="preserve"> que la situation juridique des édifices religieux et des maisons paroissiales </w:t>
      </w:r>
      <w:r w:rsidR="0029351F" w:rsidRPr="00844541">
        <w:rPr>
          <w:lang w:val="fr-FR"/>
        </w:rPr>
        <w:t xml:space="preserve">qui avaient été </w:t>
      </w:r>
      <w:r w:rsidR="00A0307C" w:rsidRPr="00844541">
        <w:rPr>
          <w:lang w:val="fr-FR"/>
        </w:rPr>
        <w:t>a</w:t>
      </w:r>
      <w:r w:rsidR="00510100" w:rsidRPr="00844541">
        <w:rPr>
          <w:lang w:val="fr-FR"/>
        </w:rPr>
        <w:t>ttribués à</w:t>
      </w:r>
      <w:r w:rsidR="00A0307C" w:rsidRPr="00844541">
        <w:rPr>
          <w:lang w:val="fr-FR"/>
        </w:rPr>
        <w:t xml:space="preserve"> l</w:t>
      </w:r>
      <w:r w:rsidR="00844541">
        <w:rPr>
          <w:lang w:val="fr-FR"/>
        </w:rPr>
        <w:t>’</w:t>
      </w:r>
      <w:r w:rsidR="00A0307C" w:rsidRPr="00844541">
        <w:rPr>
          <w:lang w:val="fr-FR"/>
        </w:rPr>
        <w:t>Église orthodoxe sera</w:t>
      </w:r>
      <w:r w:rsidR="00510100" w:rsidRPr="00844541">
        <w:rPr>
          <w:lang w:val="fr-FR"/>
        </w:rPr>
        <w:t>it</w:t>
      </w:r>
      <w:r w:rsidR="00A0307C" w:rsidRPr="00844541">
        <w:rPr>
          <w:lang w:val="fr-FR"/>
        </w:rPr>
        <w:t xml:space="preserve"> </w:t>
      </w:r>
      <w:r w:rsidR="0029351F" w:rsidRPr="00844541">
        <w:rPr>
          <w:lang w:val="fr-FR"/>
        </w:rPr>
        <w:t>établie</w:t>
      </w:r>
      <w:r w:rsidR="00A0307C" w:rsidRPr="00844541">
        <w:rPr>
          <w:lang w:val="fr-FR"/>
        </w:rPr>
        <w:t xml:space="preserve"> par une commission mixte à </w:t>
      </w:r>
      <w:r w:rsidR="0029351F" w:rsidRPr="00844541">
        <w:rPr>
          <w:lang w:val="fr-FR"/>
        </w:rPr>
        <w:t>l</w:t>
      </w:r>
      <w:r w:rsidR="00844541">
        <w:rPr>
          <w:lang w:val="fr-FR"/>
        </w:rPr>
        <w:t>’</w:t>
      </w:r>
      <w:r w:rsidR="0029351F" w:rsidRPr="00844541">
        <w:rPr>
          <w:lang w:val="fr-FR"/>
        </w:rPr>
        <w:t>issue</w:t>
      </w:r>
      <w:r w:rsidR="00A0307C" w:rsidRPr="00844541">
        <w:rPr>
          <w:lang w:val="fr-FR"/>
        </w:rPr>
        <w:t xml:space="preserve"> d</w:t>
      </w:r>
      <w:r w:rsidR="00844541">
        <w:rPr>
          <w:lang w:val="fr-FR"/>
        </w:rPr>
        <w:t>’</w:t>
      </w:r>
      <w:r w:rsidR="00A0307C" w:rsidRPr="00844541">
        <w:rPr>
          <w:lang w:val="fr-FR"/>
        </w:rPr>
        <w:t xml:space="preserve">une procédure administrative suivie </w:t>
      </w:r>
      <w:r w:rsidR="00A93D59" w:rsidRPr="00844541">
        <w:rPr>
          <w:lang w:val="fr-FR"/>
        </w:rPr>
        <w:t>d</w:t>
      </w:r>
      <w:r w:rsidR="00844541">
        <w:rPr>
          <w:lang w:val="fr-FR"/>
        </w:rPr>
        <w:t>’</w:t>
      </w:r>
      <w:r w:rsidR="00A93D59" w:rsidRPr="00844541">
        <w:rPr>
          <w:lang w:val="fr-FR"/>
        </w:rPr>
        <w:t>une</w:t>
      </w:r>
      <w:r w:rsidR="00A0307C" w:rsidRPr="00844541">
        <w:rPr>
          <w:lang w:val="fr-FR"/>
        </w:rPr>
        <w:t xml:space="preserve"> procédure judiciaire. Il ne prévoyait donc pas la restitution automatique des biens litigieux.</w:t>
      </w:r>
      <w:r w:rsidR="00C463A3" w:rsidRPr="00844541">
        <w:rPr>
          <w:lang w:val="fr-FR"/>
        </w:rPr>
        <w:t xml:space="preserve"> Les requérants </w:t>
      </w:r>
      <w:r w:rsidR="00A93D59" w:rsidRPr="00844541">
        <w:rPr>
          <w:lang w:val="fr-FR"/>
        </w:rPr>
        <w:t xml:space="preserve">sont </w:t>
      </w:r>
      <w:r w:rsidR="00C463A3" w:rsidRPr="00844541">
        <w:rPr>
          <w:lang w:val="fr-FR"/>
        </w:rPr>
        <w:t xml:space="preserve">ainsi </w:t>
      </w:r>
      <w:r w:rsidR="00A93D59" w:rsidRPr="00844541">
        <w:rPr>
          <w:lang w:val="fr-FR"/>
        </w:rPr>
        <w:t xml:space="preserve">restés </w:t>
      </w:r>
      <w:r w:rsidR="00C463A3" w:rsidRPr="00844541">
        <w:rPr>
          <w:lang w:val="fr-FR"/>
        </w:rPr>
        <w:t>privés d</w:t>
      </w:r>
      <w:r w:rsidR="00844541">
        <w:rPr>
          <w:lang w:val="fr-FR"/>
        </w:rPr>
        <w:t>’</w:t>
      </w:r>
      <w:r w:rsidR="00584102" w:rsidRPr="00844541">
        <w:rPr>
          <w:lang w:val="fr-FR"/>
        </w:rPr>
        <w:t>un</w:t>
      </w:r>
      <w:r w:rsidR="00C463A3" w:rsidRPr="00844541">
        <w:rPr>
          <w:lang w:val="fr-FR"/>
        </w:rPr>
        <w:t xml:space="preserve"> droit de propriété.</w:t>
      </w:r>
      <w:r w:rsidR="00A0307C" w:rsidRPr="00844541">
        <w:rPr>
          <w:lang w:val="fr-FR"/>
        </w:rPr>
        <w:t xml:space="preserve"> </w:t>
      </w:r>
      <w:r w:rsidR="00383850" w:rsidRPr="00844541">
        <w:rPr>
          <w:lang w:val="fr-FR"/>
        </w:rPr>
        <w:t>Cela ne signifie pas que l</w:t>
      </w:r>
      <w:r w:rsidR="00844541">
        <w:rPr>
          <w:lang w:val="fr-FR"/>
        </w:rPr>
        <w:t>’</w:t>
      </w:r>
      <w:r w:rsidR="00383850" w:rsidRPr="00844541">
        <w:rPr>
          <w:lang w:val="fr-FR"/>
        </w:rPr>
        <w:t>application par les autorités nationales des dispositions juridiques pertinentes dans un cas particulier ne puisse soulever une question sur le terrain de l</w:t>
      </w:r>
      <w:r w:rsidR="00844541">
        <w:rPr>
          <w:lang w:val="fr-FR"/>
        </w:rPr>
        <w:t>’</w:t>
      </w:r>
      <w:r w:rsidR="00383850" w:rsidRPr="00844541">
        <w:rPr>
          <w:lang w:val="fr-FR"/>
        </w:rPr>
        <w:t>article 1 du Protocole n</w:t>
      </w:r>
      <w:r w:rsidR="00383850" w:rsidRPr="00844541">
        <w:rPr>
          <w:vertAlign w:val="superscript"/>
          <w:lang w:val="fr-FR"/>
        </w:rPr>
        <w:t>o</w:t>
      </w:r>
      <w:r w:rsidR="00383850" w:rsidRPr="00844541">
        <w:rPr>
          <w:lang w:val="fr-FR"/>
        </w:rPr>
        <w:t xml:space="preserve"> 1. Toutefois, avant de rechercher si la manière dont la loi a été appliquée a porté atteinte aux droits des requérants, la cour doit rechercher si la créance de restitution litigieuse s</w:t>
      </w:r>
      <w:r w:rsidR="00844541">
        <w:rPr>
          <w:lang w:val="fr-FR"/>
        </w:rPr>
        <w:t>’</w:t>
      </w:r>
      <w:r w:rsidR="00383850" w:rsidRPr="00844541">
        <w:rPr>
          <w:lang w:val="fr-FR"/>
        </w:rPr>
        <w:t>analysait en un « bien » au sens de ladite disposition.</w:t>
      </w:r>
    </w:p>
    <w:p w:rsidR="00C463A3" w:rsidRPr="00844541" w:rsidRDefault="00DD025F"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152</w:t>
      </w:r>
      <w:r w:rsidRPr="00844541">
        <w:fldChar w:fldCharType="end"/>
      </w:r>
      <w:r w:rsidRPr="00844541">
        <w:rPr>
          <w:lang w:val="fr-FR"/>
        </w:rPr>
        <w:t>.  </w:t>
      </w:r>
      <w:r w:rsidR="001B3B27" w:rsidRPr="00844541">
        <w:rPr>
          <w:lang w:val="fr-FR"/>
        </w:rPr>
        <w:t>À</w:t>
      </w:r>
      <w:r w:rsidR="00383850" w:rsidRPr="00844541">
        <w:rPr>
          <w:lang w:val="fr-FR"/>
        </w:rPr>
        <w:t xml:space="preserve"> cet égard, il convient de noter que les requérants ont cherch</w:t>
      </w:r>
      <w:r w:rsidR="0007128F" w:rsidRPr="00844541">
        <w:rPr>
          <w:lang w:val="fr-FR"/>
        </w:rPr>
        <w:t>é</w:t>
      </w:r>
      <w:r w:rsidR="00383850" w:rsidRPr="00844541">
        <w:rPr>
          <w:lang w:val="fr-FR"/>
        </w:rPr>
        <w:t xml:space="preserve"> </w:t>
      </w:r>
      <w:r w:rsidR="001B3B27" w:rsidRPr="00844541">
        <w:rPr>
          <w:lang w:val="fr-FR"/>
        </w:rPr>
        <w:t xml:space="preserve">à </w:t>
      </w:r>
      <w:r w:rsidR="00383850" w:rsidRPr="00844541">
        <w:rPr>
          <w:lang w:val="fr-FR"/>
        </w:rPr>
        <w:t>obtenir la restitution du lieu de culte par voie judiciaire. Ils ne pouvaient donc pas prétendre que les biens leur appartenaient en dehor</w:t>
      </w:r>
      <w:r w:rsidR="001524D2" w:rsidRPr="00844541">
        <w:rPr>
          <w:lang w:val="fr-FR"/>
        </w:rPr>
        <w:t>s</w:t>
      </w:r>
      <w:r w:rsidR="00383850" w:rsidRPr="00844541">
        <w:rPr>
          <w:lang w:val="fr-FR"/>
        </w:rPr>
        <w:t xml:space="preserve"> de toute intervention des tribunaux. Dès lors, ils n</w:t>
      </w:r>
      <w:r w:rsidR="00844541">
        <w:rPr>
          <w:lang w:val="fr-FR"/>
        </w:rPr>
        <w:t>’</w:t>
      </w:r>
      <w:r w:rsidR="00383850" w:rsidRPr="00844541">
        <w:rPr>
          <w:lang w:val="fr-FR"/>
        </w:rPr>
        <w:t>avaient pas un « bien actuel ».</w:t>
      </w:r>
    </w:p>
    <w:p w:rsidR="00383850"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153</w:t>
      </w:r>
      <w:r w:rsidRPr="00844541">
        <w:rPr>
          <w:noProof/>
        </w:rPr>
        <w:fldChar w:fldCharType="end"/>
      </w:r>
      <w:r w:rsidR="00C463A3" w:rsidRPr="00844541">
        <w:rPr>
          <w:lang w:val="fr-FR"/>
        </w:rPr>
        <w:t xml:space="preserve">.  Sur le point de savoir si les requérants avaient au moins une « espérance légitime » de voir se concrétiser une quelconque créance actuelle et exigible, </w:t>
      </w:r>
      <w:r w:rsidR="00383850" w:rsidRPr="00844541">
        <w:rPr>
          <w:lang w:val="fr-FR"/>
        </w:rPr>
        <w:t>la Cour note que la créance de restitution était dès le départ une créance conditionnelle, dans la mesure où la loi prév</w:t>
      </w:r>
      <w:r w:rsidR="00F36F54" w:rsidRPr="00844541">
        <w:rPr>
          <w:lang w:val="fr-FR"/>
        </w:rPr>
        <w:t xml:space="preserve">oyait la </w:t>
      </w:r>
      <w:r w:rsidR="00383850" w:rsidRPr="00844541">
        <w:rPr>
          <w:lang w:val="fr-FR"/>
        </w:rPr>
        <w:t xml:space="preserve">condition </w:t>
      </w:r>
      <w:r w:rsidR="00F36F54" w:rsidRPr="00844541">
        <w:rPr>
          <w:lang w:val="fr-FR"/>
        </w:rPr>
        <w:t>selon</w:t>
      </w:r>
      <w:r w:rsidR="00383850" w:rsidRPr="00844541">
        <w:rPr>
          <w:lang w:val="fr-FR"/>
        </w:rPr>
        <w:t xml:space="preserve"> laquelle la situation juridique des lieux du culte devait être tranché. En l</w:t>
      </w:r>
      <w:r w:rsidR="00844541">
        <w:rPr>
          <w:lang w:val="fr-FR"/>
        </w:rPr>
        <w:t>’</w:t>
      </w:r>
      <w:r w:rsidR="00383850" w:rsidRPr="00844541">
        <w:rPr>
          <w:lang w:val="fr-FR"/>
        </w:rPr>
        <w:t>espèce, la question de la réunion par les intéressés des exigences légales devait être tranchée dans le cadre de la procédure judiciaire et les juridictions internes ont jugé en définitif que la condition prévue par la loi n</w:t>
      </w:r>
      <w:r w:rsidR="00844541">
        <w:rPr>
          <w:lang w:val="fr-FR"/>
        </w:rPr>
        <w:t>’</w:t>
      </w:r>
      <w:r w:rsidR="00383850" w:rsidRPr="00844541">
        <w:rPr>
          <w:lang w:val="fr-FR"/>
        </w:rPr>
        <w:t>était pas remplie. Dès lors, la créance des requérants ne pouvait pas être réputée suffisamment établie pour s</w:t>
      </w:r>
      <w:r w:rsidR="00844541">
        <w:rPr>
          <w:lang w:val="fr-FR"/>
        </w:rPr>
        <w:t>’</w:t>
      </w:r>
      <w:r w:rsidR="00383850" w:rsidRPr="00844541">
        <w:rPr>
          <w:lang w:val="fr-FR"/>
        </w:rPr>
        <w:t>analyser en une « valeur patrimoniale » appelant la protection de l</w:t>
      </w:r>
      <w:r w:rsidR="00844541">
        <w:rPr>
          <w:lang w:val="fr-FR"/>
        </w:rPr>
        <w:t>’</w:t>
      </w:r>
      <w:r w:rsidR="00383850" w:rsidRPr="00844541">
        <w:rPr>
          <w:lang w:val="fr-FR"/>
        </w:rPr>
        <w:t>article 1 du Protocole n</w:t>
      </w:r>
      <w:r w:rsidR="00383850" w:rsidRPr="00844541">
        <w:rPr>
          <w:vertAlign w:val="superscript"/>
          <w:lang w:val="fr-FR"/>
        </w:rPr>
        <w:t>o</w:t>
      </w:r>
      <w:r w:rsidR="00677196" w:rsidRPr="00844541">
        <w:rPr>
          <w:lang w:val="fr-FR"/>
        </w:rPr>
        <w:t> </w:t>
      </w:r>
      <w:r w:rsidR="00383850" w:rsidRPr="00844541">
        <w:rPr>
          <w:lang w:val="fr-FR"/>
        </w:rPr>
        <w:t>1.</w:t>
      </w:r>
    </w:p>
    <w:p w:rsidR="00C463A3" w:rsidRPr="00844541" w:rsidRDefault="004C1AE4"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154</w:t>
      </w:r>
      <w:r w:rsidRPr="00844541">
        <w:rPr>
          <w:noProof/>
        </w:rPr>
        <w:fldChar w:fldCharType="end"/>
      </w:r>
      <w:r w:rsidR="00DD025F" w:rsidRPr="00844541">
        <w:rPr>
          <w:lang w:val="fr-FR"/>
        </w:rPr>
        <w:t>.  </w:t>
      </w:r>
      <w:r w:rsidR="00677196" w:rsidRPr="00844541">
        <w:rPr>
          <w:lang w:val="fr-FR"/>
        </w:rPr>
        <w:t>L</w:t>
      </w:r>
      <w:r w:rsidR="00C463A3" w:rsidRPr="00844541">
        <w:rPr>
          <w:lang w:val="fr-FR"/>
        </w:rPr>
        <w:t xml:space="preserve">a Cour note </w:t>
      </w:r>
      <w:r w:rsidR="00677196" w:rsidRPr="00844541">
        <w:rPr>
          <w:lang w:val="fr-FR"/>
        </w:rPr>
        <w:t xml:space="preserve">également </w:t>
      </w:r>
      <w:r w:rsidR="00C463A3" w:rsidRPr="00844541">
        <w:rPr>
          <w:lang w:val="fr-FR"/>
        </w:rPr>
        <w:t>qu</w:t>
      </w:r>
      <w:r w:rsidR="00844541">
        <w:rPr>
          <w:lang w:val="fr-FR"/>
        </w:rPr>
        <w:t>’</w:t>
      </w:r>
      <w:r w:rsidR="00221726" w:rsidRPr="00844541">
        <w:rPr>
          <w:lang w:val="fr-FR"/>
        </w:rPr>
        <w:t>à aucun</w:t>
      </w:r>
      <w:r w:rsidR="00C463A3" w:rsidRPr="00844541">
        <w:rPr>
          <w:lang w:val="fr-FR"/>
        </w:rPr>
        <w:t xml:space="preserve"> moment les autorités du pays n</w:t>
      </w:r>
      <w:r w:rsidR="00844541">
        <w:rPr>
          <w:lang w:val="fr-FR"/>
        </w:rPr>
        <w:t>’</w:t>
      </w:r>
      <w:r w:rsidR="00C463A3" w:rsidRPr="00844541">
        <w:rPr>
          <w:lang w:val="fr-FR"/>
        </w:rPr>
        <w:t>ont</w:t>
      </w:r>
      <w:r w:rsidR="00510100" w:rsidRPr="00844541">
        <w:rPr>
          <w:lang w:val="fr-FR"/>
        </w:rPr>
        <w:t xml:space="preserve"> pris</w:t>
      </w:r>
      <w:r w:rsidR="00C463A3" w:rsidRPr="00844541">
        <w:rPr>
          <w:lang w:val="fr-FR"/>
        </w:rPr>
        <w:t xml:space="preserve"> un acte </w:t>
      </w:r>
      <w:r w:rsidR="00A0307C" w:rsidRPr="00844541">
        <w:rPr>
          <w:lang w:val="fr-FR"/>
        </w:rPr>
        <w:t xml:space="preserve">normatif </w:t>
      </w:r>
      <w:r w:rsidR="006D2F76" w:rsidRPr="00844541">
        <w:rPr>
          <w:lang w:val="fr-FR"/>
        </w:rPr>
        <w:t xml:space="preserve">ou administratif mentionnant </w:t>
      </w:r>
      <w:r w:rsidR="00C463A3" w:rsidRPr="00844541">
        <w:rPr>
          <w:lang w:val="fr-FR"/>
        </w:rPr>
        <w:t>la restitution de l</w:t>
      </w:r>
      <w:r w:rsidR="00844541">
        <w:rPr>
          <w:lang w:val="fr-FR"/>
        </w:rPr>
        <w:t>’</w:t>
      </w:r>
      <w:r w:rsidR="00C463A3" w:rsidRPr="00844541">
        <w:rPr>
          <w:lang w:val="fr-FR"/>
        </w:rPr>
        <w:t xml:space="preserve">église en cause </w:t>
      </w:r>
      <w:r w:rsidR="00A0307C" w:rsidRPr="00844541">
        <w:rPr>
          <w:lang w:val="fr-FR"/>
        </w:rPr>
        <w:t xml:space="preserve">aux </w:t>
      </w:r>
      <w:r w:rsidR="00A93D59" w:rsidRPr="00844541">
        <w:rPr>
          <w:lang w:val="fr-FR"/>
        </w:rPr>
        <w:t>intéressés</w:t>
      </w:r>
      <w:r w:rsidR="00A0307C" w:rsidRPr="00844541">
        <w:rPr>
          <w:lang w:val="fr-FR"/>
        </w:rPr>
        <w:t xml:space="preserve"> </w:t>
      </w:r>
      <w:r w:rsidR="00C463A3" w:rsidRPr="00844541">
        <w:rPr>
          <w:lang w:val="fr-FR"/>
        </w:rPr>
        <w:t xml:space="preserve">(voir, </w:t>
      </w:r>
      <w:r w:rsidR="00C463A3" w:rsidRPr="00844541">
        <w:rPr>
          <w:i/>
          <w:lang w:val="fr-FR"/>
        </w:rPr>
        <w:t>a contrario</w:t>
      </w:r>
      <w:r w:rsidR="00C463A3" w:rsidRPr="00844541">
        <w:rPr>
          <w:lang w:val="fr-FR"/>
        </w:rPr>
        <w:t xml:space="preserve">, </w:t>
      </w:r>
      <w:r w:rsidR="00C463A3" w:rsidRPr="00844541">
        <w:rPr>
          <w:i/>
          <w:lang w:val="fr-FR"/>
        </w:rPr>
        <w:t>Archidiocèse catholique d</w:t>
      </w:r>
      <w:r w:rsidR="00844541">
        <w:rPr>
          <w:i/>
          <w:lang w:val="fr-FR"/>
        </w:rPr>
        <w:t>’</w:t>
      </w:r>
      <w:r w:rsidR="00C463A3" w:rsidRPr="00844541">
        <w:rPr>
          <w:i/>
          <w:lang w:val="fr-FR"/>
        </w:rPr>
        <w:t>Alba Iulia c. Roumanie</w:t>
      </w:r>
      <w:r w:rsidR="00C463A3" w:rsidRPr="00844541">
        <w:rPr>
          <w:lang w:val="fr-FR"/>
        </w:rPr>
        <w:t>, n</w:t>
      </w:r>
      <w:r w:rsidR="00C463A3" w:rsidRPr="00844541">
        <w:rPr>
          <w:vertAlign w:val="superscript"/>
          <w:lang w:val="fr-FR"/>
        </w:rPr>
        <w:t>o</w:t>
      </w:r>
      <w:r w:rsidR="009A5710" w:rsidRPr="00844541">
        <w:rPr>
          <w:lang w:val="fr-FR"/>
        </w:rPr>
        <w:t> </w:t>
      </w:r>
      <w:r w:rsidR="00C463A3" w:rsidRPr="00844541">
        <w:rPr>
          <w:lang w:val="fr-FR"/>
        </w:rPr>
        <w:t xml:space="preserve">33003/03, §§ 82-88, 25 septembre 2012). Pour autant que les requérants </w:t>
      </w:r>
      <w:r w:rsidR="00A93D59" w:rsidRPr="00844541">
        <w:rPr>
          <w:lang w:val="fr-FR"/>
        </w:rPr>
        <w:t>dénoncent une</w:t>
      </w:r>
      <w:r w:rsidR="00C463A3" w:rsidRPr="00844541">
        <w:rPr>
          <w:lang w:val="fr-FR"/>
        </w:rPr>
        <w:t xml:space="preserve"> jurisprudence divergente des juridictions internes quant au droit applicable aux affaire</w:t>
      </w:r>
      <w:r w:rsidR="000C6D99" w:rsidRPr="00844541">
        <w:rPr>
          <w:lang w:val="fr-FR"/>
        </w:rPr>
        <w:t>s</w:t>
      </w:r>
      <w:r w:rsidR="00C463A3" w:rsidRPr="00844541">
        <w:rPr>
          <w:lang w:val="fr-FR"/>
        </w:rPr>
        <w:t xml:space="preserve"> </w:t>
      </w:r>
      <w:r w:rsidR="00A93D59" w:rsidRPr="00844541">
        <w:rPr>
          <w:lang w:val="fr-FR"/>
        </w:rPr>
        <w:t>concernant</w:t>
      </w:r>
      <w:r w:rsidR="00C463A3" w:rsidRPr="00844541">
        <w:rPr>
          <w:lang w:val="fr-FR"/>
        </w:rPr>
        <w:t xml:space="preserve"> la restitution de lieux d</w:t>
      </w:r>
      <w:r w:rsidR="00A93D59" w:rsidRPr="00844541">
        <w:rPr>
          <w:lang w:val="fr-FR"/>
        </w:rPr>
        <w:t>e</w:t>
      </w:r>
      <w:r w:rsidR="00C463A3" w:rsidRPr="00844541">
        <w:rPr>
          <w:lang w:val="fr-FR"/>
        </w:rPr>
        <w:t xml:space="preserve"> culte, la Cour rappelle </w:t>
      </w:r>
      <w:r w:rsidR="00A93D59" w:rsidRPr="00844541">
        <w:rPr>
          <w:lang w:val="fr-FR"/>
        </w:rPr>
        <w:t>que la persistance de</w:t>
      </w:r>
      <w:r w:rsidR="002F5677" w:rsidRPr="00844541">
        <w:rPr>
          <w:lang w:val="fr-FR"/>
        </w:rPr>
        <w:t xml:space="preserve"> divergence</w:t>
      </w:r>
      <w:r w:rsidR="00A93D59" w:rsidRPr="00844541">
        <w:rPr>
          <w:lang w:val="fr-FR"/>
        </w:rPr>
        <w:t>s</w:t>
      </w:r>
      <w:r w:rsidR="002F5677" w:rsidRPr="00844541">
        <w:rPr>
          <w:lang w:val="fr-FR"/>
        </w:rPr>
        <w:t xml:space="preserve"> </w:t>
      </w:r>
      <w:r w:rsidR="00B50BA9" w:rsidRPr="00844541">
        <w:rPr>
          <w:lang w:val="fr-FR"/>
        </w:rPr>
        <w:t>dans l</w:t>
      </w:r>
      <w:r w:rsidR="00844541">
        <w:rPr>
          <w:lang w:val="fr-FR"/>
        </w:rPr>
        <w:t>’</w:t>
      </w:r>
      <w:r w:rsidR="00B50BA9" w:rsidRPr="00844541">
        <w:rPr>
          <w:lang w:val="fr-FR"/>
        </w:rPr>
        <w:t xml:space="preserve">interprétation </w:t>
      </w:r>
      <w:r w:rsidR="00A93D59" w:rsidRPr="00844541">
        <w:rPr>
          <w:lang w:val="fr-FR"/>
        </w:rPr>
        <w:t xml:space="preserve">par les juridictions nationales </w:t>
      </w:r>
      <w:r w:rsidR="00B50BA9" w:rsidRPr="00844541">
        <w:rPr>
          <w:lang w:val="fr-FR"/>
        </w:rPr>
        <w:t xml:space="preserve">du droit interne </w:t>
      </w:r>
      <w:r w:rsidR="00A93D59" w:rsidRPr="00844541">
        <w:rPr>
          <w:lang w:val="fr-FR"/>
        </w:rPr>
        <w:t xml:space="preserve">ne donne pas lieu à </w:t>
      </w:r>
      <w:r w:rsidR="00B50BA9" w:rsidRPr="00844541">
        <w:rPr>
          <w:lang w:val="fr-FR"/>
        </w:rPr>
        <w:t>une « </w:t>
      </w:r>
      <w:r w:rsidR="00527972" w:rsidRPr="00844541">
        <w:rPr>
          <w:lang w:val="fr-FR"/>
        </w:rPr>
        <w:t>espérance</w:t>
      </w:r>
      <w:r w:rsidR="00B50BA9" w:rsidRPr="00844541">
        <w:rPr>
          <w:lang w:val="fr-FR"/>
        </w:rPr>
        <w:t xml:space="preserve"> légitime »</w:t>
      </w:r>
      <w:r w:rsidR="002F5677" w:rsidRPr="00844541">
        <w:rPr>
          <w:lang w:val="fr-FR"/>
        </w:rPr>
        <w:t xml:space="preserve"> (voir, en ce sens, </w:t>
      </w:r>
      <w:r w:rsidR="002F5677" w:rsidRPr="00844541">
        <w:rPr>
          <w:i/>
          <w:lang w:val="fr-FR"/>
        </w:rPr>
        <w:lastRenderedPageBreak/>
        <w:t>Albu et autres c. Roumanie</w:t>
      </w:r>
      <w:r w:rsidR="002F5677" w:rsidRPr="00844541">
        <w:rPr>
          <w:lang w:val="fr-FR"/>
        </w:rPr>
        <w:t>, n</w:t>
      </w:r>
      <w:r w:rsidR="002F5677" w:rsidRPr="00844541">
        <w:rPr>
          <w:vertAlign w:val="superscript"/>
          <w:lang w:val="fr-FR"/>
        </w:rPr>
        <w:t>o</w:t>
      </w:r>
      <w:r w:rsidR="002F5677" w:rsidRPr="00844541">
        <w:rPr>
          <w:lang w:val="fr-FR"/>
        </w:rPr>
        <w:t> 34796/09, § 4</w:t>
      </w:r>
      <w:r w:rsidR="00C47974" w:rsidRPr="00844541">
        <w:rPr>
          <w:lang w:val="fr-FR"/>
        </w:rPr>
        <w:t>7</w:t>
      </w:r>
      <w:r w:rsidR="002F5677" w:rsidRPr="00844541">
        <w:rPr>
          <w:lang w:val="fr-FR"/>
        </w:rPr>
        <w:t>, 10 mai 2012</w:t>
      </w:r>
      <w:r w:rsidR="003850F7" w:rsidRPr="00844541">
        <w:rPr>
          <w:lang w:val="fr-FR"/>
        </w:rPr>
        <w:t>,</w:t>
      </w:r>
      <w:r w:rsidR="00D300BC" w:rsidRPr="00844541">
        <w:rPr>
          <w:lang w:val="fr-FR"/>
        </w:rPr>
        <w:t xml:space="preserve"> et</w:t>
      </w:r>
      <w:r w:rsidR="008B4B06" w:rsidRPr="00844541">
        <w:rPr>
          <w:lang w:val="fr-FR"/>
        </w:rPr>
        <w:t xml:space="preserve"> </w:t>
      </w:r>
      <w:r w:rsidR="008B4B06" w:rsidRPr="00844541">
        <w:rPr>
          <w:i/>
          <w:lang w:val="fr-FR"/>
        </w:rPr>
        <w:t>Liepājnieks c</w:t>
      </w:r>
      <w:r w:rsidR="003850F7" w:rsidRPr="00844541">
        <w:rPr>
          <w:i/>
          <w:lang w:val="fr-FR"/>
        </w:rPr>
        <w:t>. </w:t>
      </w:r>
      <w:r w:rsidR="008B4B06" w:rsidRPr="00844541">
        <w:rPr>
          <w:i/>
          <w:lang w:val="fr-FR"/>
        </w:rPr>
        <w:t>Lettonie</w:t>
      </w:r>
      <w:r w:rsidR="008B4B06" w:rsidRPr="00844541">
        <w:rPr>
          <w:lang w:val="fr-FR"/>
        </w:rPr>
        <w:t xml:space="preserve"> (déc.), n</w:t>
      </w:r>
      <w:r w:rsidR="008B4B06" w:rsidRPr="00844541">
        <w:rPr>
          <w:vertAlign w:val="superscript"/>
          <w:lang w:val="fr-FR"/>
        </w:rPr>
        <w:t>o</w:t>
      </w:r>
      <w:r w:rsidR="00922DC4" w:rsidRPr="00844541">
        <w:rPr>
          <w:lang w:val="fr-FR"/>
        </w:rPr>
        <w:t xml:space="preserve"> 37586/06</w:t>
      </w:r>
      <w:r w:rsidR="008B4B06" w:rsidRPr="00844541">
        <w:rPr>
          <w:lang w:val="fr-FR"/>
        </w:rPr>
        <w:t>, §§ 95-96, 2 novembre 2010</w:t>
      </w:r>
      <w:r w:rsidR="002F5677" w:rsidRPr="00844541">
        <w:rPr>
          <w:lang w:val="fr-FR"/>
        </w:rPr>
        <w:t>).</w:t>
      </w:r>
    </w:p>
    <w:p w:rsidR="00A23A74"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155</w:t>
      </w:r>
      <w:r w:rsidRPr="00844541">
        <w:rPr>
          <w:noProof/>
        </w:rPr>
        <w:fldChar w:fldCharType="end"/>
      </w:r>
      <w:r w:rsidR="00D300BC" w:rsidRPr="00844541">
        <w:rPr>
          <w:lang w:val="fr-FR"/>
        </w:rPr>
        <w:t>.  </w:t>
      </w:r>
      <w:r w:rsidR="00A23A74" w:rsidRPr="00844541">
        <w:rPr>
          <w:lang w:val="fr-FR"/>
        </w:rPr>
        <w:t>Il s</w:t>
      </w:r>
      <w:r w:rsidR="00844541">
        <w:rPr>
          <w:lang w:val="fr-FR"/>
        </w:rPr>
        <w:t>’</w:t>
      </w:r>
      <w:r w:rsidR="00A23A74" w:rsidRPr="00844541">
        <w:rPr>
          <w:lang w:val="fr-FR"/>
        </w:rPr>
        <w:t xml:space="preserve">ensuit que ce grief est incompatible </w:t>
      </w:r>
      <w:r w:rsidR="00A23A74" w:rsidRPr="00844541">
        <w:rPr>
          <w:i/>
          <w:lang w:val="fr-FR"/>
        </w:rPr>
        <w:t>ratione materiae</w:t>
      </w:r>
      <w:r w:rsidR="00A23A74" w:rsidRPr="00844541">
        <w:rPr>
          <w:lang w:val="fr-FR"/>
        </w:rPr>
        <w:t xml:space="preserve"> avec les dispositions de la Convention au sens de l</w:t>
      </w:r>
      <w:r w:rsidR="00844541">
        <w:rPr>
          <w:lang w:val="fr-FR"/>
        </w:rPr>
        <w:t>’</w:t>
      </w:r>
      <w:r w:rsidR="00A23A74" w:rsidRPr="00844541">
        <w:rPr>
          <w:lang w:val="fr-FR"/>
        </w:rPr>
        <w:t xml:space="preserve">article 35 § 3 a) et </w:t>
      </w:r>
      <w:r w:rsidR="003850F7" w:rsidRPr="00844541">
        <w:rPr>
          <w:lang w:val="fr-FR"/>
        </w:rPr>
        <w:t>qu</w:t>
      </w:r>
      <w:r w:rsidR="00844541">
        <w:rPr>
          <w:lang w:val="fr-FR"/>
        </w:rPr>
        <w:t>’</w:t>
      </w:r>
      <w:r w:rsidR="003850F7" w:rsidRPr="00844541">
        <w:rPr>
          <w:lang w:val="fr-FR"/>
        </w:rPr>
        <w:t xml:space="preserve">il </w:t>
      </w:r>
      <w:r w:rsidR="00A23A74" w:rsidRPr="00844541">
        <w:rPr>
          <w:lang w:val="fr-FR"/>
        </w:rPr>
        <w:t>doit être rejeté</w:t>
      </w:r>
      <w:r w:rsidR="003850F7" w:rsidRPr="00844541">
        <w:rPr>
          <w:lang w:val="fr-FR"/>
        </w:rPr>
        <w:t>,</w:t>
      </w:r>
      <w:r w:rsidR="00A23A74" w:rsidRPr="00844541">
        <w:rPr>
          <w:lang w:val="fr-FR"/>
        </w:rPr>
        <w:t xml:space="preserve"> en application de l</w:t>
      </w:r>
      <w:r w:rsidR="00844541">
        <w:rPr>
          <w:lang w:val="fr-FR"/>
        </w:rPr>
        <w:t>’</w:t>
      </w:r>
      <w:r w:rsidR="00A23A74" w:rsidRPr="00844541">
        <w:rPr>
          <w:lang w:val="fr-FR"/>
        </w:rPr>
        <w:t>article 35 § 4.</w:t>
      </w:r>
    </w:p>
    <w:p w:rsidR="00B43D08" w:rsidRPr="00844541" w:rsidRDefault="002023D0" w:rsidP="00844541">
      <w:pPr>
        <w:pStyle w:val="ECHRHeading4"/>
      </w:pPr>
      <w:r w:rsidRPr="00844541">
        <w:t>b)</w:t>
      </w:r>
      <w:r w:rsidR="00B43D08" w:rsidRPr="00844541">
        <w:t>  </w:t>
      </w:r>
      <w:r w:rsidRPr="00844541">
        <w:t>Sur la violation alléguée de l</w:t>
      </w:r>
      <w:r w:rsidR="00844541">
        <w:t>’</w:t>
      </w:r>
      <w:r w:rsidRPr="00844541">
        <w:t xml:space="preserve">article 14 de la Convention </w:t>
      </w:r>
      <w:r w:rsidR="00E5579E" w:rsidRPr="00844541">
        <w:t>en combinaison</w:t>
      </w:r>
      <w:r w:rsidRPr="00844541">
        <w:t xml:space="preserve"> avec l</w:t>
      </w:r>
      <w:r w:rsidR="00844541">
        <w:t>’</w:t>
      </w:r>
      <w:r w:rsidRPr="00844541">
        <w:t>article 1 du Protocole n</w:t>
      </w:r>
      <w:r w:rsidRPr="00844541">
        <w:rPr>
          <w:vertAlign w:val="superscript"/>
        </w:rPr>
        <w:t>o</w:t>
      </w:r>
      <w:r w:rsidRPr="00844541">
        <w:t xml:space="preserve"> 1</w:t>
      </w:r>
    </w:p>
    <w:p w:rsidR="001A568E" w:rsidRPr="00844541" w:rsidRDefault="004C1AE4"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156</w:t>
      </w:r>
      <w:r w:rsidRPr="00844541">
        <w:rPr>
          <w:noProof/>
        </w:rPr>
        <w:fldChar w:fldCharType="end"/>
      </w:r>
      <w:r w:rsidR="001A568E" w:rsidRPr="00844541">
        <w:rPr>
          <w:lang w:val="fr-FR"/>
        </w:rPr>
        <w:t>.  En ce qui concerne le grief tiré du caractère discriminatoire d</w:t>
      </w:r>
      <w:r w:rsidR="00BC7059" w:rsidRPr="00844541">
        <w:rPr>
          <w:lang w:val="fr-FR"/>
        </w:rPr>
        <w:t xml:space="preserve">u critère régissant la restitution du lieu de culte, </w:t>
      </w:r>
      <w:r w:rsidR="001A568E" w:rsidRPr="00844541">
        <w:rPr>
          <w:lang w:val="fr-FR"/>
        </w:rPr>
        <w:t xml:space="preserve">la Cour </w:t>
      </w:r>
      <w:r w:rsidR="0051119D" w:rsidRPr="00844541">
        <w:rPr>
          <w:lang w:val="fr-FR"/>
        </w:rPr>
        <w:t>l</w:t>
      </w:r>
      <w:r w:rsidR="00844541">
        <w:rPr>
          <w:lang w:val="fr-FR"/>
        </w:rPr>
        <w:t>’</w:t>
      </w:r>
      <w:r w:rsidR="0051119D" w:rsidRPr="00844541">
        <w:rPr>
          <w:lang w:val="fr-FR"/>
        </w:rPr>
        <w:t xml:space="preserve">a déjà </w:t>
      </w:r>
      <w:r w:rsidR="001A568E" w:rsidRPr="00844541">
        <w:rPr>
          <w:lang w:val="fr-FR"/>
        </w:rPr>
        <w:t xml:space="preserve">rappelle </w:t>
      </w:r>
      <w:r w:rsidR="0051119D" w:rsidRPr="00844541">
        <w:rPr>
          <w:lang w:val="fr-FR"/>
        </w:rPr>
        <w:t xml:space="preserve">au paragraphe 109 ci-dessus </w:t>
      </w:r>
      <w:r w:rsidR="001A568E" w:rsidRPr="00844541">
        <w:rPr>
          <w:lang w:val="fr-FR"/>
        </w:rPr>
        <w:t xml:space="preserve">que </w:t>
      </w:r>
      <w:r w:rsidR="0051119D" w:rsidRPr="00844541">
        <w:rPr>
          <w:lang w:val="fr-FR"/>
        </w:rPr>
        <w:t>l</w:t>
      </w:r>
      <w:r w:rsidR="00844541">
        <w:rPr>
          <w:lang w:val="fr-FR"/>
        </w:rPr>
        <w:t>’</w:t>
      </w:r>
      <w:r w:rsidR="001A568E" w:rsidRPr="00844541">
        <w:rPr>
          <w:lang w:val="fr-FR"/>
        </w:rPr>
        <w:t>application de l</w:t>
      </w:r>
      <w:r w:rsidR="00844541">
        <w:rPr>
          <w:lang w:val="fr-FR"/>
        </w:rPr>
        <w:t>’</w:t>
      </w:r>
      <w:r w:rsidR="001A568E" w:rsidRPr="00844541">
        <w:rPr>
          <w:lang w:val="fr-FR"/>
        </w:rPr>
        <w:t>article 14 ne présuppose pas nécessairement la violation de l</w:t>
      </w:r>
      <w:r w:rsidR="00844541">
        <w:rPr>
          <w:lang w:val="fr-FR"/>
        </w:rPr>
        <w:t>’</w:t>
      </w:r>
      <w:r w:rsidR="001A568E" w:rsidRPr="00844541">
        <w:rPr>
          <w:lang w:val="fr-FR"/>
        </w:rPr>
        <w:t>un des droits matériels garantis par la Convention. Il faut, mais il suffit, que les faits de la cause tombent « sous l</w:t>
      </w:r>
      <w:r w:rsidR="00844541">
        <w:rPr>
          <w:lang w:val="fr-FR"/>
        </w:rPr>
        <w:t>’</w:t>
      </w:r>
      <w:r w:rsidR="001A568E" w:rsidRPr="00844541">
        <w:rPr>
          <w:lang w:val="fr-FR"/>
        </w:rPr>
        <w:t>empire » de l</w:t>
      </w:r>
      <w:r w:rsidR="00844541">
        <w:rPr>
          <w:lang w:val="fr-FR"/>
        </w:rPr>
        <w:t>’</w:t>
      </w:r>
      <w:r w:rsidR="001A568E" w:rsidRPr="00844541">
        <w:rPr>
          <w:lang w:val="fr-FR"/>
        </w:rPr>
        <w:t xml:space="preserve">un au moins des articles de la Convention (voir </w:t>
      </w:r>
      <w:r w:rsidR="00BC7059" w:rsidRPr="00844541">
        <w:rPr>
          <w:i/>
          <w:lang w:val="fr-FR"/>
        </w:rPr>
        <w:t>Stec et autres c. Royaume-Uni</w:t>
      </w:r>
      <w:r w:rsidR="00BC7059" w:rsidRPr="00844541">
        <w:rPr>
          <w:lang w:val="fr-FR"/>
        </w:rPr>
        <w:t xml:space="preserve"> (déc.) [GC], n</w:t>
      </w:r>
      <w:r w:rsidR="00BC7059" w:rsidRPr="00844541">
        <w:rPr>
          <w:vertAlign w:val="superscript"/>
          <w:lang w:val="fr-FR"/>
        </w:rPr>
        <w:t>os</w:t>
      </w:r>
      <w:r w:rsidR="00BC7059" w:rsidRPr="00844541">
        <w:rPr>
          <w:lang w:val="fr-FR"/>
        </w:rPr>
        <w:t xml:space="preserve"> 65731/01 et 65900/01, § 39, CEDH 2005</w:t>
      </w:r>
      <w:r w:rsidR="00BC7059" w:rsidRPr="00844541">
        <w:rPr>
          <w:lang w:val="fr-FR"/>
        </w:rPr>
        <w:noBreakHyphen/>
        <w:t>X</w:t>
      </w:r>
      <w:r w:rsidR="00BC7059" w:rsidRPr="00844541">
        <w:rPr>
          <w:i/>
          <w:lang w:val="fr-FR"/>
        </w:rPr>
        <w:t xml:space="preserve"> </w:t>
      </w:r>
      <w:r w:rsidR="001A568E" w:rsidRPr="00844541">
        <w:rPr>
          <w:lang w:val="fr-FR"/>
        </w:rPr>
        <w:t xml:space="preserve">et </w:t>
      </w:r>
      <w:r w:rsidR="001A568E" w:rsidRPr="00844541">
        <w:rPr>
          <w:i/>
          <w:lang w:val="fr-FR"/>
        </w:rPr>
        <w:t>Burden c. Royaume-Uni</w:t>
      </w:r>
      <w:r w:rsidR="001A568E" w:rsidRPr="00844541">
        <w:rPr>
          <w:lang w:val="fr-FR"/>
        </w:rPr>
        <w:t xml:space="preserve"> [GC], n</w:t>
      </w:r>
      <w:r w:rsidR="001A568E" w:rsidRPr="00844541">
        <w:rPr>
          <w:vertAlign w:val="superscript"/>
          <w:lang w:val="fr-FR"/>
        </w:rPr>
        <w:t>o</w:t>
      </w:r>
      <w:r w:rsidR="001A568E" w:rsidRPr="00844541">
        <w:rPr>
          <w:lang w:val="fr-FR"/>
        </w:rPr>
        <w:t xml:space="preserve"> 13378/05, § 58, CEDH 2008</w:t>
      </w:r>
      <w:r w:rsidR="00DE541D" w:rsidRPr="00844541">
        <w:rPr>
          <w:lang w:val="fr-FR"/>
        </w:rPr>
        <w:noBreakHyphen/>
      </w:r>
      <w:r w:rsidR="001A568E" w:rsidRPr="00844541">
        <w:rPr>
          <w:lang w:val="fr-FR"/>
        </w:rPr>
        <w:t>...). L</w:t>
      </w:r>
      <w:r w:rsidR="00844541">
        <w:rPr>
          <w:lang w:val="fr-FR"/>
        </w:rPr>
        <w:t>’</w:t>
      </w:r>
      <w:r w:rsidR="001A568E" w:rsidRPr="00844541">
        <w:rPr>
          <w:lang w:val="fr-FR"/>
        </w:rPr>
        <w:t>interdiction de la discrimination que consacre l</w:t>
      </w:r>
      <w:r w:rsidR="00844541">
        <w:rPr>
          <w:lang w:val="fr-FR"/>
        </w:rPr>
        <w:t>’</w:t>
      </w:r>
      <w:r w:rsidR="001A568E" w:rsidRPr="00844541">
        <w:rPr>
          <w:lang w:val="fr-FR"/>
        </w:rPr>
        <w:t xml:space="preserve">article 14 dépasse donc la jouissance des droits et libertés que la Convention et ses Protocoles imposent à chaque </w:t>
      </w:r>
      <w:r w:rsidR="0051119D" w:rsidRPr="00844541">
        <w:rPr>
          <w:lang w:val="fr-FR"/>
        </w:rPr>
        <w:t>État</w:t>
      </w:r>
      <w:r w:rsidR="001A568E" w:rsidRPr="00844541">
        <w:rPr>
          <w:lang w:val="fr-FR"/>
        </w:rPr>
        <w:t xml:space="preserve"> de garantir. Elle s</w:t>
      </w:r>
      <w:r w:rsidR="00844541">
        <w:rPr>
          <w:lang w:val="fr-FR"/>
        </w:rPr>
        <w:t>’</w:t>
      </w:r>
      <w:r w:rsidR="001A568E" w:rsidRPr="00844541">
        <w:rPr>
          <w:lang w:val="fr-FR"/>
        </w:rPr>
        <w:t>applique également aux droits additionnels, relevant du champ d</w:t>
      </w:r>
      <w:r w:rsidR="00844541">
        <w:rPr>
          <w:lang w:val="fr-FR"/>
        </w:rPr>
        <w:t>’</w:t>
      </w:r>
      <w:r w:rsidR="001A568E" w:rsidRPr="00844541">
        <w:rPr>
          <w:lang w:val="fr-FR"/>
        </w:rPr>
        <w:t>application général de tout article de la Convention, que l</w:t>
      </w:r>
      <w:r w:rsidR="00844541">
        <w:rPr>
          <w:lang w:val="fr-FR"/>
        </w:rPr>
        <w:t>’</w:t>
      </w:r>
      <w:r w:rsidR="00E95943" w:rsidRPr="00844541">
        <w:rPr>
          <w:lang w:val="fr-FR"/>
        </w:rPr>
        <w:t>État</w:t>
      </w:r>
      <w:r w:rsidR="001A568E" w:rsidRPr="00844541">
        <w:rPr>
          <w:lang w:val="fr-FR"/>
        </w:rPr>
        <w:t xml:space="preserve"> a volontairement décidé de protéger (</w:t>
      </w:r>
      <w:r w:rsidR="001A568E" w:rsidRPr="00844541">
        <w:rPr>
          <w:i/>
          <w:lang w:val="fr-FR"/>
        </w:rPr>
        <w:t>Stec et autres</w:t>
      </w:r>
      <w:r w:rsidR="001A568E" w:rsidRPr="00844541">
        <w:rPr>
          <w:lang w:val="fr-FR"/>
        </w:rPr>
        <w:t xml:space="preserve"> (déc.), précitée, § 40).</w:t>
      </w:r>
    </w:p>
    <w:p w:rsidR="001A568E" w:rsidRPr="00844541" w:rsidRDefault="004C1AE4"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157</w:t>
      </w:r>
      <w:r w:rsidRPr="00844541">
        <w:rPr>
          <w:noProof/>
        </w:rPr>
        <w:fldChar w:fldCharType="end"/>
      </w:r>
      <w:r w:rsidR="001A568E" w:rsidRPr="00844541">
        <w:rPr>
          <w:lang w:val="fr-FR"/>
        </w:rPr>
        <w:t>.  </w:t>
      </w:r>
      <w:r w:rsidR="00BC7059" w:rsidRPr="00844541">
        <w:rPr>
          <w:lang w:val="fr-FR"/>
        </w:rPr>
        <w:t>Si l</w:t>
      </w:r>
      <w:r w:rsidR="00844541">
        <w:rPr>
          <w:lang w:val="fr-FR"/>
        </w:rPr>
        <w:t>’</w:t>
      </w:r>
      <w:r w:rsidR="00BC7059" w:rsidRPr="00844541">
        <w:rPr>
          <w:lang w:val="fr-FR"/>
        </w:rPr>
        <w:t>article 1 du Protocole n</w:t>
      </w:r>
      <w:r w:rsidR="00BC7059" w:rsidRPr="00844541">
        <w:rPr>
          <w:vertAlign w:val="superscript"/>
          <w:lang w:val="fr-FR"/>
        </w:rPr>
        <w:t>o</w:t>
      </w:r>
      <w:r w:rsidR="00BC7059" w:rsidRPr="00844541">
        <w:rPr>
          <w:lang w:val="fr-FR"/>
        </w:rPr>
        <w:t xml:space="preserve"> 1 ne peut être interprété comme faisant peser sur les États contractants une obligation générale de restituer les biens leur ayant été transférés avant qu</w:t>
      </w:r>
      <w:r w:rsidR="00844541">
        <w:rPr>
          <w:lang w:val="fr-FR"/>
        </w:rPr>
        <w:t>’</w:t>
      </w:r>
      <w:r w:rsidR="00BC7059" w:rsidRPr="00844541">
        <w:rPr>
          <w:lang w:val="fr-FR"/>
        </w:rPr>
        <w:t>ils ne ratifient la Convention (</w:t>
      </w:r>
      <w:r w:rsidR="00BC7059" w:rsidRPr="00844541">
        <w:rPr>
          <w:i/>
          <w:lang w:val="it-IT"/>
        </w:rPr>
        <w:t>Kopecký</w:t>
      </w:r>
      <w:r w:rsidR="00BC7059" w:rsidRPr="00844541">
        <w:rPr>
          <w:lang w:val="it-IT"/>
        </w:rPr>
        <w:t>, précité, § 35d)</w:t>
      </w:r>
      <w:r w:rsidR="00BC7059" w:rsidRPr="00844541">
        <w:rPr>
          <w:lang w:val="fr-FR"/>
        </w:rPr>
        <w:t>), il ressort de la jurisprudence de la Cour que, lorsqu</w:t>
      </w:r>
      <w:r w:rsidR="00844541">
        <w:rPr>
          <w:lang w:val="fr-FR"/>
        </w:rPr>
        <w:t>’</w:t>
      </w:r>
      <w:r w:rsidR="00BC7059" w:rsidRPr="00844541">
        <w:rPr>
          <w:lang w:val="fr-FR"/>
        </w:rPr>
        <w:t>un État contractant, après avoir ratifié la Convention, y compris le Protocole n</w:t>
      </w:r>
      <w:r w:rsidR="00BC7059" w:rsidRPr="00844541">
        <w:rPr>
          <w:vertAlign w:val="superscript"/>
          <w:lang w:val="fr-FR"/>
        </w:rPr>
        <w:t>o</w:t>
      </w:r>
      <w:r w:rsidR="00BC7059" w:rsidRPr="00844541">
        <w:rPr>
          <w:lang w:val="fr-FR"/>
        </w:rPr>
        <w:t xml:space="preserve"> 1, adopte une législation prévoyant la restitution totale ou partielle de biens confisqués en vertu d</w:t>
      </w:r>
      <w:r w:rsidR="00844541">
        <w:rPr>
          <w:lang w:val="fr-FR"/>
        </w:rPr>
        <w:t>’</w:t>
      </w:r>
      <w:r w:rsidR="00BC7059" w:rsidRPr="00844541">
        <w:rPr>
          <w:lang w:val="fr-FR"/>
        </w:rPr>
        <w:t>un régime antérieur, semblable législation peut être considérée comme engendrant un intérêt patrimonial relevant du champ d</w:t>
      </w:r>
      <w:r w:rsidR="00844541">
        <w:rPr>
          <w:lang w:val="fr-FR"/>
        </w:rPr>
        <w:t>’</w:t>
      </w:r>
      <w:r w:rsidR="00BC7059" w:rsidRPr="00844541">
        <w:rPr>
          <w:lang w:val="fr-FR"/>
        </w:rPr>
        <w:t>application de l</w:t>
      </w:r>
      <w:r w:rsidR="00844541">
        <w:rPr>
          <w:lang w:val="fr-FR"/>
        </w:rPr>
        <w:t>’</w:t>
      </w:r>
      <w:r w:rsidR="00BC7059" w:rsidRPr="00844541">
        <w:rPr>
          <w:lang w:val="fr-FR"/>
        </w:rPr>
        <w:t>article 1 du Protocole n</w:t>
      </w:r>
      <w:r w:rsidR="00BC7059" w:rsidRPr="00844541">
        <w:rPr>
          <w:vertAlign w:val="superscript"/>
          <w:lang w:val="fr-FR"/>
        </w:rPr>
        <w:t>o</w:t>
      </w:r>
      <w:r w:rsidR="00BC7059" w:rsidRPr="00844541">
        <w:rPr>
          <w:lang w:val="fr-FR"/>
        </w:rPr>
        <w:t xml:space="preserve"> 1 pour les personnes remplissant ses conditions (</w:t>
      </w:r>
      <w:r w:rsidR="00BC7059" w:rsidRPr="00844541">
        <w:rPr>
          <w:i/>
          <w:lang w:val="fr-FR"/>
        </w:rPr>
        <w:t>ibidem</w:t>
      </w:r>
      <w:r w:rsidR="00BC7059" w:rsidRPr="00844541">
        <w:rPr>
          <w:lang w:val="fr-FR"/>
        </w:rPr>
        <w:t>).</w:t>
      </w:r>
      <w:r w:rsidR="001A568E" w:rsidRPr="00844541">
        <w:rPr>
          <w:lang w:val="fr-FR"/>
        </w:rPr>
        <w:t xml:space="preserve"> Dans des cas tels celui de l</w:t>
      </w:r>
      <w:r w:rsidR="00844541">
        <w:rPr>
          <w:lang w:val="fr-FR"/>
        </w:rPr>
        <w:t>’</w:t>
      </w:r>
      <w:r w:rsidR="001A568E" w:rsidRPr="00844541">
        <w:rPr>
          <w:lang w:val="fr-FR"/>
        </w:rPr>
        <w:t>espèce, où des requérants formulent sur le terrain de l</w:t>
      </w:r>
      <w:r w:rsidR="00844541">
        <w:rPr>
          <w:lang w:val="fr-FR"/>
        </w:rPr>
        <w:t>’</w:t>
      </w:r>
      <w:r w:rsidR="001A568E" w:rsidRPr="00844541">
        <w:rPr>
          <w:lang w:val="fr-FR"/>
        </w:rPr>
        <w:t>article 14 combiné avec l</w:t>
      </w:r>
      <w:r w:rsidR="00844541">
        <w:rPr>
          <w:lang w:val="fr-FR"/>
        </w:rPr>
        <w:t>’</w:t>
      </w:r>
      <w:r w:rsidR="001A568E" w:rsidRPr="00844541">
        <w:rPr>
          <w:lang w:val="fr-FR"/>
        </w:rPr>
        <w:t>article 1 du Protocole n</w:t>
      </w:r>
      <w:r w:rsidR="001A568E" w:rsidRPr="00844541">
        <w:rPr>
          <w:vertAlign w:val="superscript"/>
          <w:lang w:val="fr-FR"/>
        </w:rPr>
        <w:t>o</w:t>
      </w:r>
      <w:r w:rsidR="001A568E" w:rsidRPr="00844541">
        <w:rPr>
          <w:lang w:val="fr-FR"/>
        </w:rPr>
        <w:t xml:space="preserve"> 1 un grief aux termes duquel </w:t>
      </w:r>
      <w:r w:rsidR="00BC7059" w:rsidRPr="00844541">
        <w:rPr>
          <w:lang w:val="fr-FR"/>
        </w:rPr>
        <w:t>une restitution leur a été refusé</w:t>
      </w:r>
      <w:r w:rsidR="00B51697" w:rsidRPr="00844541">
        <w:rPr>
          <w:lang w:val="fr-FR"/>
        </w:rPr>
        <w:t>e</w:t>
      </w:r>
      <w:r w:rsidR="00BC7059" w:rsidRPr="00844541">
        <w:rPr>
          <w:lang w:val="fr-FR"/>
        </w:rPr>
        <w:t xml:space="preserve"> </w:t>
      </w:r>
      <w:r w:rsidR="001A568E" w:rsidRPr="00844541">
        <w:rPr>
          <w:lang w:val="fr-FR"/>
        </w:rPr>
        <w:t>pour un motif discriminatoire visé à l</w:t>
      </w:r>
      <w:r w:rsidR="00844541">
        <w:rPr>
          <w:lang w:val="fr-FR"/>
        </w:rPr>
        <w:t>’</w:t>
      </w:r>
      <w:r w:rsidR="001A568E" w:rsidRPr="00844541">
        <w:rPr>
          <w:lang w:val="fr-FR"/>
        </w:rPr>
        <w:t xml:space="preserve">article 14, </w:t>
      </w:r>
      <w:r w:rsidR="00BC7059" w:rsidRPr="00844541">
        <w:rPr>
          <w:lang w:val="fr-FR"/>
        </w:rPr>
        <w:t>à savoir l</w:t>
      </w:r>
      <w:r w:rsidR="00844541">
        <w:rPr>
          <w:lang w:val="fr-FR"/>
        </w:rPr>
        <w:t>’</w:t>
      </w:r>
      <w:r w:rsidR="00BC7059" w:rsidRPr="00844541">
        <w:rPr>
          <w:lang w:val="fr-FR"/>
        </w:rPr>
        <w:t xml:space="preserve">appartenance religieuse, </w:t>
      </w:r>
      <w:r w:rsidR="001A568E" w:rsidRPr="00844541">
        <w:rPr>
          <w:lang w:val="fr-FR"/>
        </w:rPr>
        <w:t>le critère pertinent consiste à rechercher si, n</w:t>
      </w:r>
      <w:r w:rsidR="00844541">
        <w:rPr>
          <w:lang w:val="fr-FR"/>
        </w:rPr>
        <w:t>’</w:t>
      </w:r>
      <w:r w:rsidR="001A568E" w:rsidRPr="00844541">
        <w:rPr>
          <w:lang w:val="fr-FR"/>
        </w:rPr>
        <w:t>eût été la condition d</w:t>
      </w:r>
      <w:r w:rsidR="00844541">
        <w:rPr>
          <w:lang w:val="fr-FR"/>
        </w:rPr>
        <w:t>’</w:t>
      </w:r>
      <w:r w:rsidR="001A568E" w:rsidRPr="00844541">
        <w:rPr>
          <w:lang w:val="fr-FR"/>
        </w:rPr>
        <w:t xml:space="preserve">octroi litigieuse, les intéressés auraient eu un droit, sanctionnable devant les tribunaux internes, </w:t>
      </w:r>
      <w:r w:rsidR="00BC7059" w:rsidRPr="00844541">
        <w:rPr>
          <w:lang w:val="fr-FR"/>
        </w:rPr>
        <w:t>pour obtenir la restitution du bien en cause</w:t>
      </w:r>
      <w:r w:rsidR="001A568E" w:rsidRPr="00844541">
        <w:rPr>
          <w:lang w:val="fr-FR"/>
        </w:rPr>
        <w:t xml:space="preserve"> (</w:t>
      </w:r>
      <w:r w:rsidR="00BC7059" w:rsidRPr="00844541">
        <w:rPr>
          <w:lang w:val="fr-FR"/>
        </w:rPr>
        <w:t xml:space="preserve">voir, </w:t>
      </w:r>
      <w:r w:rsidR="00BC7059" w:rsidRPr="00844541">
        <w:rPr>
          <w:i/>
          <w:lang w:val="fr-FR"/>
        </w:rPr>
        <w:t>mutatis mutandis</w:t>
      </w:r>
      <w:r w:rsidR="00BC7059" w:rsidRPr="00844541">
        <w:rPr>
          <w:lang w:val="fr-FR"/>
        </w:rPr>
        <w:t xml:space="preserve">, </w:t>
      </w:r>
      <w:r w:rsidR="001A568E" w:rsidRPr="00844541">
        <w:rPr>
          <w:i/>
          <w:lang w:val="fr-FR"/>
        </w:rPr>
        <w:t>Stec et autres</w:t>
      </w:r>
      <w:r w:rsidR="001A568E" w:rsidRPr="00844541">
        <w:rPr>
          <w:lang w:val="fr-FR"/>
        </w:rPr>
        <w:t xml:space="preserve"> (déc.), précitée, § 54</w:t>
      </w:r>
      <w:r w:rsidR="00BC7059" w:rsidRPr="00844541">
        <w:rPr>
          <w:lang w:val="fr-FR"/>
        </w:rPr>
        <w:t xml:space="preserve"> et </w:t>
      </w:r>
      <w:r w:rsidR="00284865" w:rsidRPr="00844541">
        <w:rPr>
          <w:i/>
          <w:lang w:val="fr-FR"/>
        </w:rPr>
        <w:t>Carson et autres c. </w:t>
      </w:r>
      <w:r w:rsidR="00BC7059" w:rsidRPr="00844541">
        <w:rPr>
          <w:i/>
          <w:lang w:val="fr-FR"/>
        </w:rPr>
        <w:t xml:space="preserve">Royaume-Uni </w:t>
      </w:r>
      <w:r w:rsidR="00BC7059" w:rsidRPr="00844541">
        <w:rPr>
          <w:lang w:val="fr-FR"/>
        </w:rPr>
        <w:t>[GC], n</w:t>
      </w:r>
      <w:r w:rsidR="00BC7059" w:rsidRPr="00844541">
        <w:rPr>
          <w:vertAlign w:val="superscript"/>
          <w:lang w:val="fr-FR"/>
        </w:rPr>
        <w:t>o</w:t>
      </w:r>
      <w:r w:rsidR="00BC7059" w:rsidRPr="00844541">
        <w:rPr>
          <w:lang w:val="fr-FR"/>
        </w:rPr>
        <w:t xml:space="preserve"> 42184/05, § 64, CEDH 2010</w:t>
      </w:r>
      <w:r w:rsidR="001A568E" w:rsidRPr="00844541">
        <w:rPr>
          <w:lang w:val="fr-FR"/>
        </w:rPr>
        <w:t>).</w:t>
      </w:r>
      <w:r w:rsidR="00E0106A" w:rsidRPr="00844541">
        <w:rPr>
          <w:lang w:val="fr-FR"/>
        </w:rPr>
        <w:t xml:space="preserve"> Il s</w:t>
      </w:r>
      <w:r w:rsidR="00844541">
        <w:rPr>
          <w:lang w:val="fr-FR"/>
        </w:rPr>
        <w:t>’</w:t>
      </w:r>
      <w:r w:rsidR="00E0106A" w:rsidRPr="00844541">
        <w:rPr>
          <w:lang w:val="fr-FR"/>
        </w:rPr>
        <w:t>ensuit que les intérêts des requérants entrent dans le champ d</w:t>
      </w:r>
      <w:r w:rsidR="00844541">
        <w:rPr>
          <w:lang w:val="fr-FR"/>
        </w:rPr>
        <w:t>’</w:t>
      </w:r>
      <w:r w:rsidR="00E0106A" w:rsidRPr="00844541">
        <w:rPr>
          <w:lang w:val="fr-FR"/>
        </w:rPr>
        <w:t>application de l</w:t>
      </w:r>
      <w:r w:rsidR="00844541">
        <w:rPr>
          <w:lang w:val="fr-FR"/>
        </w:rPr>
        <w:t>’</w:t>
      </w:r>
      <w:r w:rsidR="00E0106A" w:rsidRPr="00844541">
        <w:rPr>
          <w:lang w:val="fr-FR"/>
        </w:rPr>
        <w:t>article 1 du Protocole n</w:t>
      </w:r>
      <w:r w:rsidR="00E0106A" w:rsidRPr="00844541">
        <w:rPr>
          <w:vertAlign w:val="superscript"/>
          <w:lang w:val="fr-FR"/>
        </w:rPr>
        <w:t>o</w:t>
      </w:r>
      <w:r w:rsidR="00E0106A" w:rsidRPr="00844541">
        <w:rPr>
          <w:lang w:val="fr-FR"/>
        </w:rPr>
        <w:t xml:space="preserve"> 1, et du droit au respect des biens qu</w:t>
      </w:r>
      <w:r w:rsidR="00844541">
        <w:rPr>
          <w:lang w:val="fr-FR"/>
        </w:rPr>
        <w:t>’</w:t>
      </w:r>
      <w:r w:rsidR="00E0106A" w:rsidRPr="00844541">
        <w:rPr>
          <w:lang w:val="fr-FR"/>
        </w:rPr>
        <w:t>il garantit, ce qui suffit pour rendre l</w:t>
      </w:r>
      <w:r w:rsidR="00844541">
        <w:rPr>
          <w:lang w:val="fr-FR"/>
        </w:rPr>
        <w:t>’</w:t>
      </w:r>
      <w:r w:rsidR="00E0106A" w:rsidRPr="00844541">
        <w:rPr>
          <w:lang w:val="fr-FR"/>
        </w:rPr>
        <w:t>article 14 de la Convention applicable.</w:t>
      </w:r>
    </w:p>
    <w:p w:rsidR="0001023C" w:rsidRPr="00844541" w:rsidRDefault="004C1AE4" w:rsidP="00844541">
      <w:pPr>
        <w:pStyle w:val="ECHRPara"/>
        <w:rPr>
          <w:i/>
          <w:lang w:val="fr-FR"/>
        </w:rPr>
      </w:pPr>
      <w:r w:rsidRPr="00844541">
        <w:lastRenderedPageBreak/>
        <w:fldChar w:fldCharType="begin"/>
      </w:r>
      <w:r w:rsidRPr="00844541">
        <w:rPr>
          <w:lang w:val="fr-FR"/>
        </w:rPr>
        <w:instrText xml:space="preserve"> SEQ level0 \*arabic </w:instrText>
      </w:r>
      <w:r w:rsidRPr="00844541">
        <w:fldChar w:fldCharType="separate"/>
      </w:r>
      <w:r w:rsidR="00767866">
        <w:rPr>
          <w:noProof/>
          <w:lang w:val="fr-FR"/>
        </w:rPr>
        <w:t>158</w:t>
      </w:r>
      <w:r w:rsidRPr="00844541">
        <w:rPr>
          <w:noProof/>
        </w:rPr>
        <w:fldChar w:fldCharType="end"/>
      </w:r>
      <w:r w:rsidR="00DD025F" w:rsidRPr="00844541">
        <w:rPr>
          <w:lang w:val="fr-FR"/>
        </w:rPr>
        <w:t>.  </w:t>
      </w:r>
      <w:r w:rsidR="00AF47C7" w:rsidRPr="00844541">
        <w:rPr>
          <w:lang w:val="fr-FR"/>
        </w:rPr>
        <w:t>La Cour constate que les requérants dénoncent une discrimination dans la législation concernant la restitution des lieux de culte fondée sur la religion. Or, la Cour vient de constater que ni le critère prévu par la loi, ni la manière dont il avait été appliqué en l</w:t>
      </w:r>
      <w:r w:rsidR="00844541">
        <w:rPr>
          <w:lang w:val="fr-FR"/>
        </w:rPr>
        <w:t>’</w:t>
      </w:r>
      <w:r w:rsidR="00AF47C7" w:rsidRPr="00844541">
        <w:rPr>
          <w:lang w:val="fr-FR"/>
        </w:rPr>
        <w:t>espèce, n</w:t>
      </w:r>
      <w:r w:rsidR="00844541">
        <w:rPr>
          <w:lang w:val="fr-FR"/>
        </w:rPr>
        <w:t>’</w:t>
      </w:r>
      <w:r w:rsidR="00AF47C7" w:rsidRPr="00844541">
        <w:rPr>
          <w:lang w:val="fr-FR"/>
        </w:rPr>
        <w:t>ont pas constitué une discrimination fondée sur la religion</w:t>
      </w:r>
      <w:r w:rsidR="00FA4185" w:rsidRPr="00844541">
        <w:rPr>
          <w:lang w:val="fr-FR"/>
        </w:rPr>
        <w:t xml:space="preserve"> contraire à l</w:t>
      </w:r>
      <w:r w:rsidR="00844541">
        <w:rPr>
          <w:lang w:val="fr-FR"/>
        </w:rPr>
        <w:t>’</w:t>
      </w:r>
      <w:r w:rsidR="00FA4185" w:rsidRPr="00844541">
        <w:rPr>
          <w:lang w:val="fr-FR"/>
        </w:rPr>
        <w:t xml:space="preserve">article 14 </w:t>
      </w:r>
      <w:r w:rsidR="00483A54" w:rsidRPr="00844541">
        <w:rPr>
          <w:lang w:val="fr-FR"/>
        </w:rPr>
        <w:t>de la Convention</w:t>
      </w:r>
      <w:r w:rsidR="00AF47C7" w:rsidRPr="00844541">
        <w:rPr>
          <w:lang w:val="fr-FR"/>
        </w:rPr>
        <w:t xml:space="preserve">. Dès lors, pour les mêmes raisons que celles présentées aux paragraphes </w:t>
      </w:r>
      <w:r w:rsidR="007514AE" w:rsidRPr="00844541">
        <w:rPr>
          <w:lang w:val="fr-FR"/>
        </w:rPr>
        <w:t>1</w:t>
      </w:r>
      <w:r w:rsidR="00F741EE" w:rsidRPr="00844541">
        <w:rPr>
          <w:lang w:val="fr-FR"/>
        </w:rPr>
        <w:t>16</w:t>
      </w:r>
      <w:r w:rsidR="007514AE" w:rsidRPr="00844541">
        <w:rPr>
          <w:lang w:val="fr-FR"/>
        </w:rPr>
        <w:t xml:space="preserve"> à 1</w:t>
      </w:r>
      <w:r w:rsidR="00F741EE" w:rsidRPr="00844541">
        <w:rPr>
          <w:lang w:val="fr-FR"/>
        </w:rPr>
        <w:t>20</w:t>
      </w:r>
      <w:r w:rsidR="007514AE" w:rsidRPr="00844541">
        <w:rPr>
          <w:lang w:val="fr-FR"/>
        </w:rPr>
        <w:t xml:space="preserve"> </w:t>
      </w:r>
      <w:r w:rsidR="00AF47C7" w:rsidRPr="00844541">
        <w:rPr>
          <w:lang w:val="fr-FR"/>
        </w:rPr>
        <w:t xml:space="preserve">ci-dessus, la Cour conclut que ce grief est </w:t>
      </w:r>
      <w:r w:rsidR="00D864C9" w:rsidRPr="00844541">
        <w:rPr>
          <w:snapToGrid w:val="0"/>
          <w:lang w:val="fr-FR"/>
        </w:rPr>
        <w:t>manifestement mal fondé et doit être rejeté en application de l</w:t>
      </w:r>
      <w:r w:rsidR="00844541">
        <w:rPr>
          <w:snapToGrid w:val="0"/>
          <w:lang w:val="fr-FR"/>
        </w:rPr>
        <w:t>’</w:t>
      </w:r>
      <w:r w:rsidR="00D864C9" w:rsidRPr="00844541">
        <w:rPr>
          <w:snapToGrid w:val="0"/>
          <w:lang w:val="fr-FR"/>
        </w:rPr>
        <w:t>article 35</w:t>
      </w:r>
      <w:r w:rsidR="00A86844" w:rsidRPr="00844541">
        <w:rPr>
          <w:snapToGrid w:val="0"/>
          <w:lang w:val="fr-FR"/>
        </w:rPr>
        <w:t> </w:t>
      </w:r>
      <w:r w:rsidR="00D864C9" w:rsidRPr="00844541">
        <w:rPr>
          <w:snapToGrid w:val="0"/>
          <w:lang w:val="fr-FR"/>
        </w:rPr>
        <w:t>§§</w:t>
      </w:r>
      <w:r w:rsidR="00A86844" w:rsidRPr="00844541">
        <w:rPr>
          <w:snapToGrid w:val="0"/>
          <w:lang w:val="fr-FR"/>
        </w:rPr>
        <w:t> </w:t>
      </w:r>
      <w:r w:rsidR="00D864C9" w:rsidRPr="00844541">
        <w:rPr>
          <w:snapToGrid w:val="0"/>
          <w:lang w:val="fr-FR"/>
        </w:rPr>
        <w:t>3 </w:t>
      </w:r>
      <w:r w:rsidR="00D864C9" w:rsidRPr="00844541">
        <w:rPr>
          <w:lang w:val="fr-FR"/>
        </w:rPr>
        <w:t xml:space="preserve">a) </w:t>
      </w:r>
      <w:r w:rsidR="00D864C9" w:rsidRPr="00844541">
        <w:rPr>
          <w:snapToGrid w:val="0"/>
          <w:lang w:val="fr-FR"/>
        </w:rPr>
        <w:t>et 4 de la Convention.</w:t>
      </w:r>
    </w:p>
    <w:p w:rsidR="00EC6427" w:rsidRPr="00844541" w:rsidRDefault="0052326B" w:rsidP="00844541">
      <w:pPr>
        <w:pStyle w:val="ECHRHeading1"/>
      </w:pPr>
      <w:r w:rsidRPr="00844541">
        <w:t>V</w:t>
      </w:r>
      <w:r w:rsidR="00EC6427" w:rsidRPr="00844541">
        <w:t>.  SUR LES AUTRES VIOLATIONS ALLÉGUÉES</w:t>
      </w:r>
    </w:p>
    <w:p w:rsidR="00EC6427"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159</w:t>
      </w:r>
      <w:r w:rsidRPr="00844541">
        <w:rPr>
          <w:noProof/>
        </w:rPr>
        <w:fldChar w:fldCharType="end"/>
      </w:r>
      <w:r w:rsidR="00EC6427" w:rsidRPr="00844541">
        <w:rPr>
          <w:lang w:val="fr-FR"/>
        </w:rPr>
        <w:t>.  </w:t>
      </w:r>
      <w:r w:rsidR="00835688" w:rsidRPr="00844541">
        <w:rPr>
          <w:noProof/>
          <w:lang w:val="fr-FR"/>
        </w:rPr>
        <w:t>Les requérants se plaignent</w:t>
      </w:r>
      <w:r w:rsidR="00EC6427" w:rsidRPr="00844541">
        <w:rPr>
          <w:lang w:val="fr-FR"/>
        </w:rPr>
        <w:t xml:space="preserve"> </w:t>
      </w:r>
      <w:r w:rsidR="00107CEE" w:rsidRPr="00844541">
        <w:rPr>
          <w:lang w:val="fr-FR"/>
        </w:rPr>
        <w:t>sur le terrain de l</w:t>
      </w:r>
      <w:r w:rsidR="00844541">
        <w:rPr>
          <w:lang w:val="fr-FR"/>
        </w:rPr>
        <w:t>’</w:t>
      </w:r>
      <w:r w:rsidR="00107CEE" w:rsidRPr="00844541">
        <w:rPr>
          <w:lang w:val="fr-FR"/>
        </w:rPr>
        <w:t>article 6 de la Convention d</w:t>
      </w:r>
      <w:r w:rsidR="00844541">
        <w:rPr>
          <w:lang w:val="fr-FR"/>
        </w:rPr>
        <w:t>’</w:t>
      </w:r>
      <w:r w:rsidR="00A13A01" w:rsidRPr="00844541">
        <w:rPr>
          <w:lang w:val="fr-FR"/>
        </w:rPr>
        <w:t>un</w:t>
      </w:r>
      <w:r w:rsidR="00107CEE" w:rsidRPr="00844541">
        <w:rPr>
          <w:lang w:val="fr-FR"/>
        </w:rPr>
        <w:t xml:space="preserve"> défaut d</w:t>
      </w:r>
      <w:r w:rsidR="00844541">
        <w:rPr>
          <w:lang w:val="fr-FR"/>
        </w:rPr>
        <w:t>’</w:t>
      </w:r>
      <w:r w:rsidR="00107CEE" w:rsidRPr="00844541">
        <w:rPr>
          <w:lang w:val="fr-FR"/>
        </w:rPr>
        <w:t>indépendance et d</w:t>
      </w:r>
      <w:r w:rsidR="00844541">
        <w:rPr>
          <w:lang w:val="fr-FR"/>
        </w:rPr>
        <w:t>’</w:t>
      </w:r>
      <w:r w:rsidR="00107CEE" w:rsidRPr="00844541">
        <w:rPr>
          <w:lang w:val="fr-FR"/>
        </w:rPr>
        <w:t>impartialité des tribunaux, dans la mesure où, en appliquant</w:t>
      </w:r>
      <w:r w:rsidR="00A13A01" w:rsidRPr="00844541">
        <w:rPr>
          <w:lang w:val="fr-FR"/>
        </w:rPr>
        <w:t>, selon les intéressés,</w:t>
      </w:r>
      <w:r w:rsidR="00107CEE" w:rsidRPr="00844541">
        <w:rPr>
          <w:lang w:val="fr-FR"/>
        </w:rPr>
        <w:t xml:space="preserve"> le critère de la volonté de la majorité</w:t>
      </w:r>
      <w:r w:rsidR="00A13A01" w:rsidRPr="00844541">
        <w:rPr>
          <w:lang w:val="fr-FR"/>
        </w:rPr>
        <w:t xml:space="preserve"> des fidèles</w:t>
      </w:r>
      <w:r w:rsidR="00107CEE" w:rsidRPr="00844541">
        <w:rPr>
          <w:lang w:val="fr-FR"/>
        </w:rPr>
        <w:t xml:space="preserve">, </w:t>
      </w:r>
      <w:r w:rsidR="00A13A01" w:rsidRPr="00844541">
        <w:rPr>
          <w:lang w:val="fr-FR"/>
        </w:rPr>
        <w:t>ces tribunaux auraient</w:t>
      </w:r>
      <w:r w:rsidR="00107CEE" w:rsidRPr="00844541">
        <w:rPr>
          <w:lang w:val="fr-FR"/>
        </w:rPr>
        <w:t xml:space="preserve"> favorisé la partie orthodoxe qui représente la religion majoritaire du pays. Toujours sur le </w:t>
      </w:r>
      <w:r w:rsidR="00A13A01" w:rsidRPr="00844541">
        <w:rPr>
          <w:lang w:val="fr-FR"/>
        </w:rPr>
        <w:t>terrain du même article</w:t>
      </w:r>
      <w:r w:rsidR="00107CEE" w:rsidRPr="00844541">
        <w:rPr>
          <w:lang w:val="fr-FR"/>
        </w:rPr>
        <w:t>, il</w:t>
      </w:r>
      <w:r w:rsidR="00412021" w:rsidRPr="00844541">
        <w:rPr>
          <w:lang w:val="fr-FR"/>
        </w:rPr>
        <w:t>s</w:t>
      </w:r>
      <w:r w:rsidR="00107CEE" w:rsidRPr="00844541">
        <w:rPr>
          <w:lang w:val="fr-FR"/>
        </w:rPr>
        <w:t xml:space="preserve"> dénonce</w:t>
      </w:r>
      <w:r w:rsidR="00412021" w:rsidRPr="00844541">
        <w:rPr>
          <w:lang w:val="fr-FR"/>
        </w:rPr>
        <w:t>nt</w:t>
      </w:r>
      <w:r w:rsidR="00107CEE" w:rsidRPr="00844541">
        <w:rPr>
          <w:lang w:val="fr-FR"/>
        </w:rPr>
        <w:t xml:space="preserve"> un défaut d</w:t>
      </w:r>
      <w:r w:rsidR="00844541">
        <w:rPr>
          <w:lang w:val="fr-FR"/>
        </w:rPr>
        <w:t>’</w:t>
      </w:r>
      <w:r w:rsidR="00107CEE" w:rsidRPr="00844541">
        <w:rPr>
          <w:lang w:val="fr-FR"/>
        </w:rPr>
        <w:t xml:space="preserve">équité de la procédure au motif que certains juges </w:t>
      </w:r>
      <w:r w:rsidR="00A13A01" w:rsidRPr="00844541">
        <w:rPr>
          <w:lang w:val="fr-FR"/>
        </w:rPr>
        <w:t>auraient</w:t>
      </w:r>
      <w:r w:rsidR="00107CEE" w:rsidRPr="00844541">
        <w:rPr>
          <w:lang w:val="fr-FR"/>
        </w:rPr>
        <w:t xml:space="preserve"> été remplacés au cours de la procédure dans les formations où ils avaient siégé et que certain</w:t>
      </w:r>
      <w:r w:rsidR="00412021" w:rsidRPr="00844541">
        <w:rPr>
          <w:lang w:val="fr-FR"/>
        </w:rPr>
        <w:t>e</w:t>
      </w:r>
      <w:r w:rsidR="00107CEE" w:rsidRPr="00844541">
        <w:rPr>
          <w:lang w:val="fr-FR"/>
        </w:rPr>
        <w:t>s mentions concernant le déroulement oral de la procédure n</w:t>
      </w:r>
      <w:r w:rsidR="00844541">
        <w:rPr>
          <w:lang w:val="fr-FR"/>
        </w:rPr>
        <w:t>’</w:t>
      </w:r>
      <w:r w:rsidR="00A13A01" w:rsidRPr="00844541">
        <w:rPr>
          <w:lang w:val="fr-FR"/>
        </w:rPr>
        <w:t>auraient</w:t>
      </w:r>
      <w:r w:rsidR="00107CEE" w:rsidRPr="00844541">
        <w:rPr>
          <w:lang w:val="fr-FR"/>
        </w:rPr>
        <w:t xml:space="preserve"> pas été consigné</w:t>
      </w:r>
      <w:r w:rsidR="00412021" w:rsidRPr="00844541">
        <w:rPr>
          <w:lang w:val="fr-FR"/>
        </w:rPr>
        <w:t>e</w:t>
      </w:r>
      <w:r w:rsidR="00107CEE" w:rsidRPr="00844541">
        <w:rPr>
          <w:lang w:val="fr-FR"/>
        </w:rPr>
        <w:t>s avec rigueur.</w:t>
      </w:r>
      <w:r w:rsidR="004F4CDF" w:rsidRPr="00844541">
        <w:rPr>
          <w:lang w:val="fr-FR"/>
        </w:rPr>
        <w:t xml:space="preserve"> Ils se </w:t>
      </w:r>
      <w:r w:rsidR="00775868" w:rsidRPr="00844541">
        <w:rPr>
          <w:lang w:val="fr-FR"/>
        </w:rPr>
        <w:t>plaignent</w:t>
      </w:r>
      <w:r w:rsidR="004F4CDF" w:rsidRPr="00844541">
        <w:rPr>
          <w:lang w:val="fr-FR"/>
        </w:rPr>
        <w:t xml:space="preserve"> enfin d</w:t>
      </w:r>
      <w:r w:rsidR="00844541">
        <w:rPr>
          <w:lang w:val="fr-FR"/>
        </w:rPr>
        <w:t>’</w:t>
      </w:r>
      <w:r w:rsidR="004F4CDF" w:rsidRPr="00844541">
        <w:rPr>
          <w:lang w:val="fr-FR"/>
        </w:rPr>
        <w:t>une violation de leur</w:t>
      </w:r>
      <w:r w:rsidR="00775868" w:rsidRPr="00844541">
        <w:rPr>
          <w:lang w:val="fr-FR"/>
        </w:rPr>
        <w:t>s</w:t>
      </w:r>
      <w:r w:rsidR="004F4CDF" w:rsidRPr="00844541">
        <w:rPr>
          <w:lang w:val="fr-FR"/>
        </w:rPr>
        <w:t xml:space="preserve"> droits garantis par l</w:t>
      </w:r>
      <w:r w:rsidR="00844541">
        <w:rPr>
          <w:lang w:val="fr-FR"/>
        </w:rPr>
        <w:t>’</w:t>
      </w:r>
      <w:r w:rsidR="004F4CDF" w:rsidRPr="00844541">
        <w:rPr>
          <w:lang w:val="fr-FR"/>
        </w:rPr>
        <w:t>article 13 de la Convention en combinaison avec les a</w:t>
      </w:r>
      <w:r w:rsidR="00284865" w:rsidRPr="00844541">
        <w:rPr>
          <w:lang w:val="fr-FR"/>
        </w:rPr>
        <w:t>rticles 9 de la Convention et 1 </w:t>
      </w:r>
      <w:r w:rsidR="004F4CDF" w:rsidRPr="00844541">
        <w:rPr>
          <w:lang w:val="fr-FR"/>
        </w:rPr>
        <w:t>du Protocole n</w:t>
      </w:r>
      <w:r w:rsidR="004F4CDF" w:rsidRPr="00844541">
        <w:rPr>
          <w:vertAlign w:val="superscript"/>
          <w:lang w:val="fr-FR"/>
        </w:rPr>
        <w:t>o</w:t>
      </w:r>
      <w:r w:rsidR="004F4CDF" w:rsidRPr="00844541">
        <w:rPr>
          <w:lang w:val="fr-FR"/>
        </w:rPr>
        <w:t xml:space="preserve"> 1, en soutenant qu</w:t>
      </w:r>
      <w:r w:rsidR="00844541">
        <w:rPr>
          <w:lang w:val="fr-FR"/>
        </w:rPr>
        <w:t>’</w:t>
      </w:r>
      <w:r w:rsidR="004F4CDF" w:rsidRPr="00844541">
        <w:rPr>
          <w:lang w:val="fr-FR"/>
        </w:rPr>
        <w:t>ils n</w:t>
      </w:r>
      <w:r w:rsidR="00844541">
        <w:rPr>
          <w:lang w:val="fr-FR"/>
        </w:rPr>
        <w:t>’</w:t>
      </w:r>
      <w:r w:rsidR="004F4CDF" w:rsidRPr="00844541">
        <w:rPr>
          <w:lang w:val="fr-FR"/>
        </w:rPr>
        <w:t>avaient pas bénéficié au niveau interne d</w:t>
      </w:r>
      <w:r w:rsidR="00844541">
        <w:rPr>
          <w:lang w:val="fr-FR"/>
        </w:rPr>
        <w:t>’</w:t>
      </w:r>
      <w:r w:rsidR="004F4CDF" w:rsidRPr="00844541">
        <w:rPr>
          <w:lang w:val="fr-FR"/>
        </w:rPr>
        <w:t>un recours pour faire valoir leur</w:t>
      </w:r>
      <w:r w:rsidR="00DD025F" w:rsidRPr="00844541">
        <w:rPr>
          <w:lang w:val="fr-FR"/>
        </w:rPr>
        <w:t>s</w:t>
      </w:r>
      <w:r w:rsidR="004F4CDF" w:rsidRPr="00844541">
        <w:rPr>
          <w:lang w:val="fr-FR"/>
        </w:rPr>
        <w:t xml:space="preserve"> droits.</w:t>
      </w:r>
    </w:p>
    <w:p w:rsidR="00FC6CF5" w:rsidRPr="00844541" w:rsidRDefault="00FC6CF5"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160</w:t>
      </w:r>
      <w:r w:rsidRPr="00844541">
        <w:fldChar w:fldCharType="end"/>
      </w:r>
      <w:r w:rsidRPr="00844541">
        <w:rPr>
          <w:lang w:val="fr-FR"/>
        </w:rPr>
        <w:t>.  Compte tenu de l</w:t>
      </w:r>
      <w:r w:rsidR="00844541">
        <w:rPr>
          <w:lang w:val="fr-FR"/>
        </w:rPr>
        <w:t>’</w:t>
      </w:r>
      <w:r w:rsidRPr="00844541">
        <w:rPr>
          <w:lang w:val="fr-FR"/>
        </w:rPr>
        <w:t xml:space="preserve">ensemble des éléments </w:t>
      </w:r>
      <w:r w:rsidR="00FA2ABC" w:rsidRPr="00844541">
        <w:rPr>
          <w:lang w:val="fr-FR"/>
        </w:rPr>
        <w:t>dont elle dispose</w:t>
      </w:r>
      <w:r w:rsidRPr="00844541">
        <w:rPr>
          <w:lang w:val="fr-FR"/>
        </w:rPr>
        <w:t>, et dans la mesure où elle est compétente pour connaître des allégations formulées, la Cour n</w:t>
      </w:r>
      <w:r w:rsidR="00844541">
        <w:rPr>
          <w:lang w:val="fr-FR"/>
        </w:rPr>
        <w:t>’</w:t>
      </w:r>
      <w:r w:rsidRPr="00844541">
        <w:rPr>
          <w:lang w:val="fr-FR"/>
        </w:rPr>
        <w:t>a relevé aucune apparence de violation des droits et libertés garantis par la Convention ou ses Protocoles. Il s</w:t>
      </w:r>
      <w:r w:rsidR="00844541">
        <w:rPr>
          <w:lang w:val="fr-FR"/>
        </w:rPr>
        <w:t>’</w:t>
      </w:r>
      <w:r w:rsidRPr="00844541">
        <w:rPr>
          <w:lang w:val="fr-FR"/>
        </w:rPr>
        <w:t>ensuit que ces griefs sont irrecevables et qu</w:t>
      </w:r>
      <w:r w:rsidR="00844541">
        <w:rPr>
          <w:lang w:val="fr-FR"/>
        </w:rPr>
        <w:t>’</w:t>
      </w:r>
      <w:r w:rsidRPr="00844541">
        <w:rPr>
          <w:lang w:val="fr-FR"/>
        </w:rPr>
        <w:t>ils doivent être rejetés, en application de l</w:t>
      </w:r>
      <w:r w:rsidR="00844541">
        <w:rPr>
          <w:lang w:val="fr-FR"/>
        </w:rPr>
        <w:t>’</w:t>
      </w:r>
      <w:r w:rsidRPr="00844541">
        <w:rPr>
          <w:lang w:val="fr-FR"/>
        </w:rPr>
        <w:t>article 35 §§ 3 et 4 de la Convention.</w:t>
      </w:r>
    </w:p>
    <w:p w:rsidR="00EC6427" w:rsidRPr="00844541" w:rsidRDefault="00A0108D" w:rsidP="00844541">
      <w:pPr>
        <w:pStyle w:val="ECHRHeading1"/>
      </w:pPr>
      <w:r w:rsidRPr="00844541">
        <w:t>V</w:t>
      </w:r>
      <w:r w:rsidR="003C33A6" w:rsidRPr="00844541">
        <w:t>I</w:t>
      </w:r>
      <w:r w:rsidR="00EC6427" w:rsidRPr="00844541">
        <w:t>.  SUR L</w:t>
      </w:r>
      <w:r w:rsidR="00844541">
        <w:t>’</w:t>
      </w:r>
      <w:r w:rsidR="00EC6427" w:rsidRPr="00844541">
        <w:t>APPLICATION DE L</w:t>
      </w:r>
      <w:r w:rsidR="00844541">
        <w:t>’</w:t>
      </w:r>
      <w:r w:rsidR="00EC6427" w:rsidRPr="00844541">
        <w:t>ARTICLE 41 DE LA CONVENTION</w:t>
      </w:r>
    </w:p>
    <w:p w:rsidR="00EC6427" w:rsidRPr="00844541" w:rsidRDefault="00AA632A"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161</w:t>
      </w:r>
      <w:r w:rsidRPr="00844541">
        <w:rPr>
          <w:noProof/>
        </w:rPr>
        <w:fldChar w:fldCharType="end"/>
      </w:r>
      <w:r w:rsidR="00EC6427" w:rsidRPr="00844541">
        <w:rPr>
          <w:lang w:val="fr-FR"/>
        </w:rPr>
        <w:t>.  Aux termes de l</w:t>
      </w:r>
      <w:r w:rsidR="00844541">
        <w:rPr>
          <w:lang w:val="fr-FR"/>
        </w:rPr>
        <w:t>’</w:t>
      </w:r>
      <w:r w:rsidR="00EC6427" w:rsidRPr="00844541">
        <w:rPr>
          <w:lang w:val="fr-FR"/>
        </w:rPr>
        <w:t>article 41 de la Convention,</w:t>
      </w:r>
    </w:p>
    <w:p w:rsidR="00EC6427" w:rsidRPr="00844541" w:rsidRDefault="00EC6427" w:rsidP="00844541">
      <w:pPr>
        <w:pStyle w:val="ECHRParaQuote"/>
        <w:keepNext/>
        <w:keepLines/>
      </w:pPr>
      <w:r w:rsidRPr="00844541">
        <w:t>« Si la Cour déclare qu</w:t>
      </w:r>
      <w:r w:rsidR="00844541">
        <w:t>’</w:t>
      </w:r>
      <w:r w:rsidRPr="00844541">
        <w:t>il y a eu violation de la Convention ou de ses Protocoles, et si le droit interne de la Haute Partie contractante ne permet d</w:t>
      </w:r>
      <w:r w:rsidR="00844541">
        <w:t>’</w:t>
      </w:r>
      <w:r w:rsidRPr="00844541">
        <w:t>effacer qu</w:t>
      </w:r>
      <w:r w:rsidR="00844541">
        <w:t>’</w:t>
      </w:r>
      <w:r w:rsidRPr="00844541">
        <w:t>imparfaitement les conséquences de cette violation, la Cour accorde à la partie lésée, s</w:t>
      </w:r>
      <w:r w:rsidR="00844541">
        <w:t>’</w:t>
      </w:r>
      <w:r w:rsidRPr="00844541">
        <w:t>il y a lieu, une satisfaction équitable. »</w:t>
      </w:r>
    </w:p>
    <w:p w:rsidR="00EC6427" w:rsidRPr="00844541" w:rsidRDefault="00EC6427" w:rsidP="00844541">
      <w:pPr>
        <w:pStyle w:val="ECHRHeading2"/>
      </w:pPr>
      <w:r w:rsidRPr="00844541">
        <w:t>A.  Dommage</w:t>
      </w:r>
    </w:p>
    <w:p w:rsidR="00FF5231" w:rsidRPr="00844541" w:rsidRDefault="00AA632A"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162</w:t>
      </w:r>
      <w:r w:rsidRPr="00844541">
        <w:rPr>
          <w:noProof/>
        </w:rPr>
        <w:fldChar w:fldCharType="end"/>
      </w:r>
      <w:r w:rsidR="00EC6427" w:rsidRPr="00844541">
        <w:rPr>
          <w:lang w:val="fr-FR"/>
        </w:rPr>
        <w:t>.  </w:t>
      </w:r>
      <w:r w:rsidR="00412021" w:rsidRPr="00844541">
        <w:rPr>
          <w:lang w:val="fr-FR"/>
        </w:rPr>
        <w:t>Les requérants</w:t>
      </w:r>
      <w:r w:rsidR="004932DA" w:rsidRPr="00844541">
        <w:rPr>
          <w:lang w:val="fr-FR"/>
        </w:rPr>
        <w:t xml:space="preserve"> réclame</w:t>
      </w:r>
      <w:r w:rsidR="00835688" w:rsidRPr="00844541">
        <w:rPr>
          <w:noProof/>
          <w:lang w:val="fr-FR"/>
        </w:rPr>
        <w:t>nt</w:t>
      </w:r>
      <w:r w:rsidR="00FF5231" w:rsidRPr="00844541">
        <w:rPr>
          <w:noProof/>
          <w:lang w:val="fr-FR"/>
        </w:rPr>
        <w:t xml:space="preserve">, </w:t>
      </w:r>
      <w:r w:rsidR="003850F7" w:rsidRPr="00844541">
        <w:rPr>
          <w:noProof/>
          <w:lang w:val="fr-FR"/>
        </w:rPr>
        <w:t>pour</w:t>
      </w:r>
      <w:r w:rsidR="00FF5231" w:rsidRPr="00844541">
        <w:rPr>
          <w:noProof/>
          <w:lang w:val="fr-FR"/>
        </w:rPr>
        <w:t xml:space="preserve"> préjudice matériel,</w:t>
      </w:r>
      <w:r w:rsidR="00EC6427" w:rsidRPr="00844541">
        <w:rPr>
          <w:lang w:val="fr-FR"/>
        </w:rPr>
        <w:t xml:space="preserve"> </w:t>
      </w:r>
      <w:r w:rsidR="00FF5231" w:rsidRPr="00844541">
        <w:rPr>
          <w:lang w:val="fr-FR"/>
        </w:rPr>
        <w:t>la restitution de l</w:t>
      </w:r>
      <w:r w:rsidR="00844541">
        <w:rPr>
          <w:lang w:val="fr-FR"/>
        </w:rPr>
        <w:t>’</w:t>
      </w:r>
      <w:r w:rsidR="00FF5231" w:rsidRPr="00844541">
        <w:rPr>
          <w:lang w:val="fr-FR"/>
        </w:rPr>
        <w:t>église</w:t>
      </w:r>
      <w:r w:rsidR="00412021" w:rsidRPr="00844541">
        <w:rPr>
          <w:lang w:val="fr-FR"/>
        </w:rPr>
        <w:t>,</w:t>
      </w:r>
      <w:r w:rsidR="00FF5231" w:rsidRPr="00844541">
        <w:rPr>
          <w:lang w:val="fr-FR"/>
        </w:rPr>
        <w:t xml:space="preserve"> du terrain et de la maison paroissiale. </w:t>
      </w:r>
      <w:r w:rsidR="006D2F76" w:rsidRPr="00844541">
        <w:rPr>
          <w:lang w:val="fr-FR"/>
        </w:rPr>
        <w:t>À</w:t>
      </w:r>
      <w:r w:rsidR="00FF5231" w:rsidRPr="00844541">
        <w:rPr>
          <w:lang w:val="fr-FR"/>
        </w:rPr>
        <w:t xml:space="preserve"> défaut de restitution en </w:t>
      </w:r>
      <w:r w:rsidR="00FF5231" w:rsidRPr="00844541">
        <w:rPr>
          <w:lang w:val="fr-FR"/>
        </w:rPr>
        <w:lastRenderedPageBreak/>
        <w:t>nature des biens immeubles, ils demandent</w:t>
      </w:r>
      <w:r w:rsidR="00A24A53" w:rsidRPr="00844541">
        <w:rPr>
          <w:lang w:val="fr-FR"/>
        </w:rPr>
        <w:t>, se fondant sur un rapport d</w:t>
      </w:r>
      <w:r w:rsidR="00844541">
        <w:rPr>
          <w:lang w:val="fr-FR"/>
        </w:rPr>
        <w:t>’</w:t>
      </w:r>
      <w:r w:rsidR="00A24A53" w:rsidRPr="00844541">
        <w:rPr>
          <w:lang w:val="fr-FR"/>
        </w:rPr>
        <w:t>expertise,</w:t>
      </w:r>
      <w:r w:rsidR="00FF5231" w:rsidRPr="00844541">
        <w:rPr>
          <w:lang w:val="fr-FR"/>
        </w:rPr>
        <w:t xml:space="preserve"> 282 343 euros (EUR), </w:t>
      </w:r>
      <w:r w:rsidR="003850F7" w:rsidRPr="00844541">
        <w:rPr>
          <w:lang w:val="fr-FR"/>
        </w:rPr>
        <w:t>un montant qui correspond</w:t>
      </w:r>
      <w:r w:rsidR="00A24A53" w:rsidRPr="00844541">
        <w:rPr>
          <w:lang w:val="fr-FR"/>
        </w:rPr>
        <w:t xml:space="preserve"> d</w:t>
      </w:r>
      <w:r w:rsidR="00844541">
        <w:rPr>
          <w:lang w:val="fr-FR"/>
        </w:rPr>
        <w:t>’</w:t>
      </w:r>
      <w:r w:rsidR="00A24A53" w:rsidRPr="00844541">
        <w:rPr>
          <w:lang w:val="fr-FR"/>
        </w:rPr>
        <w:t>après eux</w:t>
      </w:r>
      <w:r w:rsidR="003850F7" w:rsidRPr="00844541">
        <w:rPr>
          <w:lang w:val="fr-FR"/>
        </w:rPr>
        <w:t xml:space="preserve"> à </w:t>
      </w:r>
      <w:r w:rsidR="00FF5231" w:rsidRPr="00844541">
        <w:rPr>
          <w:lang w:val="fr-FR"/>
        </w:rPr>
        <w:t xml:space="preserve">la valeur marchande des immeubles en litige. Ils </w:t>
      </w:r>
      <w:r w:rsidR="00A24A53" w:rsidRPr="00844541">
        <w:rPr>
          <w:lang w:val="fr-FR"/>
        </w:rPr>
        <w:t xml:space="preserve">réclament </w:t>
      </w:r>
      <w:r w:rsidR="00FF5231" w:rsidRPr="00844541">
        <w:rPr>
          <w:lang w:val="fr-FR"/>
        </w:rPr>
        <w:t>également 50</w:t>
      </w:r>
      <w:r w:rsidR="00B43D08" w:rsidRPr="00844541">
        <w:rPr>
          <w:lang w:val="fr-FR"/>
        </w:rPr>
        <w:t> </w:t>
      </w:r>
      <w:r w:rsidR="00FF5231" w:rsidRPr="00844541">
        <w:rPr>
          <w:lang w:val="fr-FR"/>
        </w:rPr>
        <w:t>000</w:t>
      </w:r>
      <w:r w:rsidR="00B43D08" w:rsidRPr="00844541">
        <w:rPr>
          <w:lang w:val="fr-FR"/>
        </w:rPr>
        <w:t> </w:t>
      </w:r>
      <w:r w:rsidR="00FF5231" w:rsidRPr="00844541">
        <w:rPr>
          <w:lang w:val="fr-FR"/>
        </w:rPr>
        <w:t xml:space="preserve">EUR </w:t>
      </w:r>
      <w:r w:rsidR="003850F7" w:rsidRPr="00844541">
        <w:rPr>
          <w:lang w:val="fr-FR"/>
        </w:rPr>
        <w:t>pour</w:t>
      </w:r>
      <w:r w:rsidR="00FF5231" w:rsidRPr="00844541">
        <w:rPr>
          <w:lang w:val="fr-FR"/>
        </w:rPr>
        <w:t xml:space="preserve"> préjudice moral.</w:t>
      </w:r>
    </w:p>
    <w:p w:rsidR="00EC6427" w:rsidRPr="00844541" w:rsidRDefault="00AA632A"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163</w:t>
      </w:r>
      <w:r w:rsidRPr="00844541">
        <w:rPr>
          <w:noProof/>
        </w:rPr>
        <w:fldChar w:fldCharType="end"/>
      </w:r>
      <w:r w:rsidR="00EC6427" w:rsidRPr="00844541">
        <w:rPr>
          <w:lang w:val="fr-FR"/>
        </w:rPr>
        <w:t xml:space="preserve">.  Le Gouvernement </w:t>
      </w:r>
      <w:r w:rsidR="00FF2D19" w:rsidRPr="00844541">
        <w:rPr>
          <w:lang w:val="fr-FR"/>
        </w:rPr>
        <w:t xml:space="preserve">réplique que les valeurs </w:t>
      </w:r>
      <w:r w:rsidR="003850F7" w:rsidRPr="00844541">
        <w:rPr>
          <w:lang w:val="fr-FR"/>
        </w:rPr>
        <w:t xml:space="preserve">figurant </w:t>
      </w:r>
      <w:r w:rsidR="00FF2D19" w:rsidRPr="00844541">
        <w:rPr>
          <w:lang w:val="fr-FR"/>
        </w:rPr>
        <w:t>dans le rapport d</w:t>
      </w:r>
      <w:r w:rsidR="00844541">
        <w:rPr>
          <w:lang w:val="fr-FR"/>
        </w:rPr>
        <w:t>’</w:t>
      </w:r>
      <w:r w:rsidR="00FF2D19" w:rsidRPr="00844541">
        <w:rPr>
          <w:lang w:val="fr-FR"/>
        </w:rPr>
        <w:t>évaluation sont exorbitantes par rapport aux pri</w:t>
      </w:r>
      <w:r w:rsidR="00412021" w:rsidRPr="00844541">
        <w:rPr>
          <w:lang w:val="fr-FR"/>
        </w:rPr>
        <w:t>x</w:t>
      </w:r>
      <w:r w:rsidR="00FF2D19" w:rsidRPr="00844541">
        <w:rPr>
          <w:lang w:val="fr-FR"/>
        </w:rPr>
        <w:t xml:space="preserve"> marchands estimés par la </w:t>
      </w:r>
      <w:r w:rsidR="00DF6376" w:rsidRPr="00844541">
        <w:rPr>
          <w:lang w:val="fr-FR"/>
        </w:rPr>
        <w:t>c</w:t>
      </w:r>
      <w:r w:rsidR="00FF2D19" w:rsidRPr="00844541">
        <w:rPr>
          <w:lang w:val="fr-FR"/>
        </w:rPr>
        <w:t xml:space="preserve">hambre des </w:t>
      </w:r>
      <w:r w:rsidR="003850F7" w:rsidRPr="00844541">
        <w:rPr>
          <w:lang w:val="fr-FR"/>
        </w:rPr>
        <w:t>n</w:t>
      </w:r>
      <w:r w:rsidR="00FF2D19" w:rsidRPr="00844541">
        <w:rPr>
          <w:lang w:val="fr-FR"/>
        </w:rPr>
        <w:t xml:space="preserve">otaires </w:t>
      </w:r>
      <w:r w:rsidR="00106D19" w:rsidRPr="00844541">
        <w:rPr>
          <w:lang w:val="fr-FR"/>
        </w:rPr>
        <w:t xml:space="preserve">pour des terrains similaires à celui </w:t>
      </w:r>
      <w:r w:rsidR="00D17551" w:rsidRPr="00844541">
        <w:rPr>
          <w:lang w:val="fr-FR"/>
        </w:rPr>
        <w:t xml:space="preserve">qui est </w:t>
      </w:r>
      <w:r w:rsidR="00106D19" w:rsidRPr="00844541">
        <w:rPr>
          <w:lang w:val="fr-FR"/>
        </w:rPr>
        <w:t xml:space="preserve">revendiqué. </w:t>
      </w:r>
      <w:r w:rsidR="003850F7" w:rsidRPr="00844541">
        <w:rPr>
          <w:lang w:val="fr-FR"/>
        </w:rPr>
        <w:t>Il estime que, si</w:t>
      </w:r>
      <w:r w:rsidR="00106D19" w:rsidRPr="00844541">
        <w:rPr>
          <w:lang w:val="fr-FR"/>
        </w:rPr>
        <w:t xml:space="preserve"> la Cour </w:t>
      </w:r>
      <w:r w:rsidR="003850F7" w:rsidRPr="00844541">
        <w:rPr>
          <w:lang w:val="fr-FR"/>
        </w:rPr>
        <w:t xml:space="preserve">conclut </w:t>
      </w:r>
      <w:r w:rsidR="00106D19" w:rsidRPr="00844541">
        <w:rPr>
          <w:lang w:val="fr-FR"/>
        </w:rPr>
        <w:t xml:space="preserve">que les requérants </w:t>
      </w:r>
      <w:r w:rsidR="003850F7" w:rsidRPr="00844541">
        <w:rPr>
          <w:lang w:val="fr-FR"/>
        </w:rPr>
        <w:t xml:space="preserve">ont subi </w:t>
      </w:r>
      <w:r w:rsidR="00106D19" w:rsidRPr="00844541">
        <w:rPr>
          <w:lang w:val="fr-FR"/>
        </w:rPr>
        <w:t>un préjudice moral, un éventuel arrêt constatant une atteinte à leurs droits conventionnels constituer</w:t>
      </w:r>
      <w:r w:rsidR="003850F7" w:rsidRPr="00844541">
        <w:rPr>
          <w:lang w:val="fr-FR"/>
        </w:rPr>
        <w:t>ait</w:t>
      </w:r>
      <w:r w:rsidR="00106D19" w:rsidRPr="00844541">
        <w:rPr>
          <w:lang w:val="fr-FR"/>
        </w:rPr>
        <w:t xml:space="preserve"> une réparation suffisante du préjudice moral</w:t>
      </w:r>
      <w:r w:rsidR="00482B8D" w:rsidRPr="00844541">
        <w:rPr>
          <w:lang w:val="fr-FR"/>
        </w:rPr>
        <w:t xml:space="preserve"> et</w:t>
      </w:r>
      <w:r w:rsidR="00106D19" w:rsidRPr="00844541">
        <w:rPr>
          <w:lang w:val="fr-FR"/>
        </w:rPr>
        <w:t xml:space="preserve"> qu</w:t>
      </w:r>
      <w:r w:rsidR="00844541">
        <w:rPr>
          <w:lang w:val="fr-FR"/>
        </w:rPr>
        <w:t>’</w:t>
      </w:r>
      <w:r w:rsidR="00106D19" w:rsidRPr="00844541">
        <w:rPr>
          <w:lang w:val="fr-FR"/>
        </w:rPr>
        <w:t xml:space="preserve">en tout état de cause la somme sollicitée </w:t>
      </w:r>
      <w:r w:rsidR="003850F7" w:rsidRPr="00844541">
        <w:rPr>
          <w:lang w:val="fr-FR"/>
        </w:rPr>
        <w:t>pour</w:t>
      </w:r>
      <w:r w:rsidR="00106D19" w:rsidRPr="00844541">
        <w:rPr>
          <w:lang w:val="fr-FR"/>
        </w:rPr>
        <w:t xml:space="preserve"> préjudice moral est excessive.</w:t>
      </w:r>
    </w:p>
    <w:p w:rsidR="002078FF" w:rsidRPr="00844541" w:rsidRDefault="003855E5"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164</w:t>
      </w:r>
      <w:r w:rsidRPr="00844541">
        <w:rPr>
          <w:noProof/>
        </w:rPr>
        <w:fldChar w:fldCharType="end"/>
      </w:r>
      <w:r w:rsidR="009C36D3" w:rsidRPr="00844541">
        <w:rPr>
          <w:lang w:val="fr-FR"/>
        </w:rPr>
        <w:t>.  </w:t>
      </w:r>
      <w:r w:rsidR="00894632" w:rsidRPr="00844541">
        <w:rPr>
          <w:lang w:val="fr-FR"/>
        </w:rPr>
        <w:t>La Cour relève que l</w:t>
      </w:r>
      <w:r w:rsidR="00844541">
        <w:rPr>
          <w:lang w:val="fr-FR"/>
        </w:rPr>
        <w:t>’</w:t>
      </w:r>
      <w:r w:rsidR="00894632" w:rsidRPr="00844541">
        <w:rPr>
          <w:lang w:val="fr-FR"/>
        </w:rPr>
        <w:t>octroi d</w:t>
      </w:r>
      <w:r w:rsidR="00844541">
        <w:rPr>
          <w:lang w:val="fr-FR"/>
        </w:rPr>
        <w:t>’</w:t>
      </w:r>
      <w:r w:rsidR="00894632" w:rsidRPr="00844541">
        <w:rPr>
          <w:lang w:val="fr-FR"/>
        </w:rPr>
        <w:t xml:space="preserve">une satisfaction équitable </w:t>
      </w:r>
      <w:r w:rsidR="00BD72E0" w:rsidRPr="00844541">
        <w:rPr>
          <w:lang w:val="fr-FR"/>
        </w:rPr>
        <w:t>en l</w:t>
      </w:r>
      <w:r w:rsidR="00844541">
        <w:rPr>
          <w:lang w:val="fr-FR"/>
        </w:rPr>
        <w:t>’</w:t>
      </w:r>
      <w:r w:rsidR="00BD72E0" w:rsidRPr="00844541">
        <w:rPr>
          <w:lang w:val="fr-FR"/>
        </w:rPr>
        <w:t xml:space="preserve">espèce </w:t>
      </w:r>
      <w:r w:rsidR="00482B8D" w:rsidRPr="00844541">
        <w:rPr>
          <w:lang w:val="fr-FR"/>
        </w:rPr>
        <w:t xml:space="preserve">ne peut se justifier que par </w:t>
      </w:r>
      <w:r w:rsidR="00BD72E0" w:rsidRPr="00844541">
        <w:rPr>
          <w:lang w:val="fr-FR"/>
        </w:rPr>
        <w:t>le fait que les requérants n</w:t>
      </w:r>
      <w:r w:rsidR="00844541">
        <w:rPr>
          <w:lang w:val="fr-FR"/>
        </w:rPr>
        <w:t>’</w:t>
      </w:r>
      <w:r w:rsidR="00BD72E0" w:rsidRPr="00844541">
        <w:rPr>
          <w:lang w:val="fr-FR"/>
        </w:rPr>
        <w:t>ont</w:t>
      </w:r>
      <w:r w:rsidR="00894632" w:rsidRPr="00844541">
        <w:rPr>
          <w:lang w:val="fr-FR"/>
        </w:rPr>
        <w:t xml:space="preserve"> pas bénéficié d</w:t>
      </w:r>
      <w:r w:rsidR="00844541">
        <w:rPr>
          <w:lang w:val="fr-FR"/>
        </w:rPr>
        <w:t>’</w:t>
      </w:r>
      <w:r w:rsidR="00894632" w:rsidRPr="00844541">
        <w:rPr>
          <w:lang w:val="fr-FR"/>
        </w:rPr>
        <w:t xml:space="preserve">un </w:t>
      </w:r>
      <w:r w:rsidR="00BD72E0" w:rsidRPr="00844541">
        <w:rPr>
          <w:lang w:val="fr-FR"/>
        </w:rPr>
        <w:t xml:space="preserve">procès </w:t>
      </w:r>
      <w:r w:rsidR="0095013B" w:rsidRPr="00844541">
        <w:rPr>
          <w:lang w:val="fr-FR"/>
        </w:rPr>
        <w:t>dans un délai raisonnable</w:t>
      </w:r>
      <w:r w:rsidR="00894632" w:rsidRPr="00844541">
        <w:rPr>
          <w:lang w:val="fr-FR"/>
        </w:rPr>
        <w:t xml:space="preserve">. </w:t>
      </w:r>
      <w:r w:rsidR="00C0578C" w:rsidRPr="00844541">
        <w:rPr>
          <w:lang w:val="fr-FR"/>
        </w:rPr>
        <w:t>Étant donné qu</w:t>
      </w:r>
      <w:r w:rsidR="00844541">
        <w:rPr>
          <w:lang w:val="fr-FR"/>
        </w:rPr>
        <w:t>’</w:t>
      </w:r>
      <w:r w:rsidR="00FA1BFC" w:rsidRPr="00844541">
        <w:rPr>
          <w:lang w:val="fr-FR"/>
        </w:rPr>
        <w:t>il n</w:t>
      </w:r>
      <w:r w:rsidR="00844541">
        <w:rPr>
          <w:lang w:val="fr-FR"/>
        </w:rPr>
        <w:t>’</w:t>
      </w:r>
      <w:r w:rsidR="00FA1BFC" w:rsidRPr="00844541">
        <w:rPr>
          <w:lang w:val="fr-FR"/>
        </w:rPr>
        <w:t xml:space="preserve">existe </w:t>
      </w:r>
      <w:r w:rsidR="00C0578C" w:rsidRPr="00844541">
        <w:rPr>
          <w:lang w:val="fr-FR"/>
        </w:rPr>
        <w:t xml:space="preserve">aucun lien de causalité entre la violation constatée et le préjudice </w:t>
      </w:r>
      <w:r w:rsidR="002A1C46" w:rsidRPr="00844541">
        <w:rPr>
          <w:lang w:val="fr-FR"/>
        </w:rPr>
        <w:t xml:space="preserve">matériel </w:t>
      </w:r>
      <w:r w:rsidR="00482B8D" w:rsidRPr="00844541">
        <w:rPr>
          <w:lang w:val="fr-FR"/>
        </w:rPr>
        <w:t>allégué</w:t>
      </w:r>
      <w:r w:rsidR="00C0578C" w:rsidRPr="00844541">
        <w:rPr>
          <w:lang w:val="fr-FR"/>
        </w:rPr>
        <w:t>, la Cour rejet</w:t>
      </w:r>
      <w:r w:rsidR="002A1C46" w:rsidRPr="00844541">
        <w:rPr>
          <w:lang w:val="fr-FR"/>
        </w:rPr>
        <w:t>te</w:t>
      </w:r>
      <w:r w:rsidR="00C0578C" w:rsidRPr="00844541">
        <w:rPr>
          <w:lang w:val="fr-FR"/>
        </w:rPr>
        <w:t xml:space="preserve"> </w:t>
      </w:r>
      <w:r w:rsidR="00482B8D" w:rsidRPr="00844541">
        <w:rPr>
          <w:lang w:val="fr-FR"/>
        </w:rPr>
        <w:t>la</w:t>
      </w:r>
      <w:r w:rsidR="00C0578C" w:rsidRPr="00844541">
        <w:rPr>
          <w:lang w:val="fr-FR"/>
        </w:rPr>
        <w:t xml:space="preserve"> demande</w:t>
      </w:r>
      <w:r w:rsidR="00482B8D" w:rsidRPr="00844541">
        <w:rPr>
          <w:lang w:val="fr-FR"/>
        </w:rPr>
        <w:t xml:space="preserve"> à cet égard</w:t>
      </w:r>
      <w:r w:rsidR="00C0578C" w:rsidRPr="00844541">
        <w:rPr>
          <w:lang w:val="fr-FR"/>
        </w:rPr>
        <w:t>.</w:t>
      </w:r>
    </w:p>
    <w:p w:rsidR="00894632" w:rsidRPr="00844541" w:rsidRDefault="00D01A28"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165</w:t>
      </w:r>
      <w:r w:rsidRPr="00844541">
        <w:rPr>
          <w:noProof/>
        </w:rPr>
        <w:fldChar w:fldCharType="end"/>
      </w:r>
      <w:r w:rsidR="009C36D3" w:rsidRPr="00844541">
        <w:rPr>
          <w:lang w:val="fr-FR"/>
        </w:rPr>
        <w:t>.  </w:t>
      </w:r>
      <w:r w:rsidR="00894632" w:rsidRPr="00844541">
        <w:rPr>
          <w:lang w:val="fr-FR"/>
        </w:rPr>
        <w:t>S</w:t>
      </w:r>
      <w:r w:rsidR="00844541">
        <w:rPr>
          <w:lang w:val="fr-FR"/>
        </w:rPr>
        <w:t>’</w:t>
      </w:r>
      <w:r w:rsidR="00894632" w:rsidRPr="00844541">
        <w:rPr>
          <w:lang w:val="fr-FR"/>
        </w:rPr>
        <w:t xml:space="preserve">agissant de la réparation du préjudice moral, </w:t>
      </w:r>
      <w:r w:rsidR="0073482F" w:rsidRPr="00844541">
        <w:rPr>
          <w:lang w:val="fr-FR"/>
        </w:rPr>
        <w:t>l</w:t>
      </w:r>
      <w:r w:rsidR="00FB5887" w:rsidRPr="00844541">
        <w:rPr>
          <w:lang w:val="fr-FR"/>
        </w:rPr>
        <w:t>a</w:t>
      </w:r>
      <w:r w:rsidR="0073482F" w:rsidRPr="00844541">
        <w:rPr>
          <w:lang w:val="fr-FR"/>
        </w:rPr>
        <w:t xml:space="preserve"> </w:t>
      </w:r>
      <w:r w:rsidR="001B70D9" w:rsidRPr="00844541">
        <w:rPr>
          <w:lang w:val="fr-FR"/>
        </w:rPr>
        <w:t xml:space="preserve">Cour estime que la </w:t>
      </w:r>
      <w:r w:rsidR="0073482F" w:rsidRPr="00844541">
        <w:rPr>
          <w:lang w:val="fr-FR"/>
        </w:rPr>
        <w:t xml:space="preserve">violation constatée </w:t>
      </w:r>
      <w:r w:rsidR="00FB5887" w:rsidRPr="00844541">
        <w:rPr>
          <w:lang w:val="fr-FR"/>
        </w:rPr>
        <w:t>a</w:t>
      </w:r>
      <w:r w:rsidR="0073482F" w:rsidRPr="00844541">
        <w:rPr>
          <w:lang w:val="fr-FR"/>
        </w:rPr>
        <w:t xml:space="preserve"> </w:t>
      </w:r>
      <w:r w:rsidR="00A12171" w:rsidRPr="00844541">
        <w:rPr>
          <w:lang w:val="fr-FR"/>
        </w:rPr>
        <w:t>dû causer, dans le chef des intéressés</w:t>
      </w:r>
      <w:r w:rsidR="00894632" w:rsidRPr="00844541">
        <w:rPr>
          <w:lang w:val="fr-FR"/>
        </w:rPr>
        <w:t>, des désagréments et une incertitude prolongée</w:t>
      </w:r>
      <w:r w:rsidR="00083FA0" w:rsidRPr="00844541">
        <w:rPr>
          <w:lang w:val="fr-FR"/>
        </w:rPr>
        <w:t xml:space="preserve"> que le simple constat de violation ne saurait réparer.</w:t>
      </w:r>
      <w:r w:rsidR="009479A0" w:rsidRPr="00844541">
        <w:rPr>
          <w:lang w:val="fr-FR"/>
        </w:rPr>
        <w:t xml:space="preserve"> S</w:t>
      </w:r>
      <w:r w:rsidR="00894632" w:rsidRPr="00844541">
        <w:rPr>
          <w:lang w:val="fr-FR"/>
        </w:rPr>
        <w:t>tatuant en équité, comme le veut l</w:t>
      </w:r>
      <w:r w:rsidR="00844541">
        <w:rPr>
          <w:lang w:val="fr-FR"/>
        </w:rPr>
        <w:t>’</w:t>
      </w:r>
      <w:r w:rsidR="00894632" w:rsidRPr="00844541">
        <w:rPr>
          <w:lang w:val="fr-FR"/>
        </w:rPr>
        <w:t xml:space="preserve">article 41, </w:t>
      </w:r>
      <w:r w:rsidR="001B70D9" w:rsidRPr="00844541">
        <w:rPr>
          <w:lang w:val="fr-FR"/>
        </w:rPr>
        <w:t>elle</w:t>
      </w:r>
      <w:r w:rsidR="006057A6" w:rsidRPr="00844541">
        <w:rPr>
          <w:lang w:val="fr-FR"/>
        </w:rPr>
        <w:t xml:space="preserve"> alloue </w:t>
      </w:r>
      <w:r w:rsidR="002624B1" w:rsidRPr="00844541">
        <w:rPr>
          <w:lang w:val="fr-FR"/>
        </w:rPr>
        <w:t xml:space="preserve">conjointement aux </w:t>
      </w:r>
      <w:r w:rsidR="006057A6" w:rsidRPr="00844541">
        <w:rPr>
          <w:lang w:val="fr-FR"/>
        </w:rPr>
        <w:t>requérants</w:t>
      </w:r>
      <w:r w:rsidR="003D492A" w:rsidRPr="00844541">
        <w:rPr>
          <w:lang w:val="fr-FR"/>
        </w:rPr>
        <w:t xml:space="preserve"> </w:t>
      </w:r>
      <w:r w:rsidR="00BB2FE4" w:rsidRPr="00844541">
        <w:rPr>
          <w:lang w:val="fr-FR"/>
        </w:rPr>
        <w:t>2</w:t>
      </w:r>
      <w:r w:rsidR="00894632" w:rsidRPr="00844541">
        <w:rPr>
          <w:lang w:val="fr-FR"/>
        </w:rPr>
        <w:t> </w:t>
      </w:r>
      <w:r w:rsidR="00BB2FE4" w:rsidRPr="00844541">
        <w:rPr>
          <w:lang w:val="fr-FR"/>
        </w:rPr>
        <w:t>4</w:t>
      </w:r>
      <w:r w:rsidR="00894632" w:rsidRPr="00844541">
        <w:rPr>
          <w:lang w:val="fr-FR"/>
        </w:rPr>
        <w:t xml:space="preserve">00 EUR </w:t>
      </w:r>
      <w:r w:rsidR="001B70D9" w:rsidRPr="00844541">
        <w:rPr>
          <w:lang w:val="fr-FR"/>
        </w:rPr>
        <w:t>pour dommage</w:t>
      </w:r>
      <w:r w:rsidR="006057A6" w:rsidRPr="00844541">
        <w:rPr>
          <w:lang w:val="fr-FR"/>
        </w:rPr>
        <w:t xml:space="preserve"> moral</w:t>
      </w:r>
      <w:r w:rsidR="00894632" w:rsidRPr="00844541">
        <w:rPr>
          <w:lang w:val="fr-FR"/>
        </w:rPr>
        <w:t>.</w:t>
      </w:r>
    </w:p>
    <w:p w:rsidR="00EC6427" w:rsidRPr="00844541" w:rsidRDefault="00EC6427" w:rsidP="00844541">
      <w:pPr>
        <w:pStyle w:val="ECHRHeading2"/>
      </w:pPr>
      <w:r w:rsidRPr="00844541">
        <w:t>B.  Frais et dépens</w:t>
      </w:r>
    </w:p>
    <w:p w:rsidR="00B43D08" w:rsidRPr="00844541" w:rsidRDefault="00AA632A"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166</w:t>
      </w:r>
      <w:r w:rsidRPr="00844541">
        <w:rPr>
          <w:noProof/>
        </w:rPr>
        <w:fldChar w:fldCharType="end"/>
      </w:r>
      <w:r w:rsidR="00EC6427" w:rsidRPr="00844541">
        <w:rPr>
          <w:lang w:val="fr-FR"/>
        </w:rPr>
        <w:t>.  </w:t>
      </w:r>
      <w:r w:rsidR="00835688" w:rsidRPr="00844541">
        <w:rPr>
          <w:noProof/>
          <w:lang w:val="fr-FR"/>
        </w:rPr>
        <w:t>Les requérants</w:t>
      </w:r>
      <w:r w:rsidR="004932DA" w:rsidRPr="00844541">
        <w:rPr>
          <w:lang w:val="fr-FR"/>
        </w:rPr>
        <w:t xml:space="preserve"> demande</w:t>
      </w:r>
      <w:r w:rsidR="00835688" w:rsidRPr="00844541">
        <w:rPr>
          <w:noProof/>
          <w:lang w:val="fr-FR"/>
        </w:rPr>
        <w:t>nt</w:t>
      </w:r>
      <w:r w:rsidR="00EC6427" w:rsidRPr="00844541">
        <w:rPr>
          <w:lang w:val="fr-FR"/>
        </w:rPr>
        <w:t xml:space="preserve"> également </w:t>
      </w:r>
      <w:r w:rsidR="000B6C93" w:rsidRPr="00844541">
        <w:rPr>
          <w:lang w:val="fr-FR"/>
        </w:rPr>
        <w:t>7 930,61</w:t>
      </w:r>
      <w:r w:rsidR="00EC6427" w:rsidRPr="00844541">
        <w:rPr>
          <w:lang w:val="fr-FR"/>
        </w:rPr>
        <w:t xml:space="preserve"> EUR pour les frais et dépens </w:t>
      </w:r>
      <w:r w:rsidR="00147398" w:rsidRPr="00844541">
        <w:rPr>
          <w:lang w:val="fr-FR"/>
        </w:rPr>
        <w:t>engagés</w:t>
      </w:r>
      <w:r w:rsidR="00EC6427" w:rsidRPr="00844541">
        <w:rPr>
          <w:lang w:val="fr-FR"/>
        </w:rPr>
        <w:t xml:space="preserve"> devant </w:t>
      </w:r>
      <w:r w:rsidR="003B238A" w:rsidRPr="00844541">
        <w:rPr>
          <w:lang w:val="fr-FR"/>
        </w:rPr>
        <w:t xml:space="preserve">la Cour, </w:t>
      </w:r>
      <w:r w:rsidR="00AC05F6" w:rsidRPr="00844541">
        <w:rPr>
          <w:lang w:val="fr-FR"/>
        </w:rPr>
        <w:t>qu</w:t>
      </w:r>
      <w:r w:rsidR="00844541">
        <w:rPr>
          <w:lang w:val="fr-FR"/>
        </w:rPr>
        <w:t>’</w:t>
      </w:r>
      <w:r w:rsidR="00AC05F6" w:rsidRPr="00844541">
        <w:rPr>
          <w:lang w:val="fr-FR"/>
        </w:rPr>
        <w:t>ils</w:t>
      </w:r>
      <w:r w:rsidR="003B238A" w:rsidRPr="00844541">
        <w:rPr>
          <w:lang w:val="fr-FR"/>
        </w:rPr>
        <w:t xml:space="preserve"> détail</w:t>
      </w:r>
      <w:r w:rsidR="00AC05F6" w:rsidRPr="00844541">
        <w:rPr>
          <w:lang w:val="fr-FR"/>
        </w:rPr>
        <w:t>lent comme suit</w:t>
      </w:r>
      <w:r w:rsidR="003B238A" w:rsidRPr="00844541">
        <w:rPr>
          <w:lang w:val="fr-FR"/>
        </w:rPr>
        <w:t xml:space="preserve"> : </w:t>
      </w:r>
      <w:r w:rsidR="00E446DE" w:rsidRPr="00844541">
        <w:rPr>
          <w:lang w:val="fr-FR"/>
        </w:rPr>
        <w:t>5</w:t>
      </w:r>
      <w:r w:rsidR="00321D5E" w:rsidRPr="00844541">
        <w:rPr>
          <w:lang w:val="fr-FR"/>
        </w:rPr>
        <w:t> </w:t>
      </w:r>
      <w:r w:rsidR="00E446DE" w:rsidRPr="00844541">
        <w:rPr>
          <w:lang w:val="fr-FR"/>
        </w:rPr>
        <w:t>173,5</w:t>
      </w:r>
      <w:r w:rsidR="00321D5E" w:rsidRPr="00844541">
        <w:rPr>
          <w:lang w:val="fr-FR"/>
        </w:rPr>
        <w:t>0</w:t>
      </w:r>
      <w:r w:rsidR="00E446DE" w:rsidRPr="00844541">
        <w:rPr>
          <w:lang w:val="fr-FR"/>
        </w:rPr>
        <w:t> </w:t>
      </w:r>
      <w:r w:rsidR="003B238A" w:rsidRPr="00844541">
        <w:rPr>
          <w:lang w:val="fr-FR"/>
        </w:rPr>
        <w:t xml:space="preserve"> EUR pour M</w:t>
      </w:r>
      <w:r w:rsidR="003B238A" w:rsidRPr="00844541">
        <w:rPr>
          <w:vertAlign w:val="superscript"/>
          <w:lang w:val="fr-FR"/>
        </w:rPr>
        <w:t>e</w:t>
      </w:r>
      <w:r w:rsidR="003B238A" w:rsidRPr="00844541">
        <w:rPr>
          <w:lang w:val="fr-FR"/>
        </w:rPr>
        <w:t xml:space="preserve"> D.O. Hatneanu, à verser directement à l</w:t>
      </w:r>
      <w:r w:rsidR="00844541">
        <w:rPr>
          <w:lang w:val="fr-FR"/>
        </w:rPr>
        <w:t>’</w:t>
      </w:r>
      <w:r w:rsidR="003B238A" w:rsidRPr="00844541">
        <w:rPr>
          <w:lang w:val="fr-FR"/>
        </w:rPr>
        <w:t xml:space="preserve">avocate, </w:t>
      </w:r>
      <w:r w:rsidR="00106A93" w:rsidRPr="00844541">
        <w:rPr>
          <w:lang w:val="fr-FR"/>
        </w:rPr>
        <w:t>2 385,5</w:t>
      </w:r>
      <w:r w:rsidR="00AC05F6" w:rsidRPr="00844541">
        <w:rPr>
          <w:lang w:val="fr-FR"/>
        </w:rPr>
        <w:t>0</w:t>
      </w:r>
      <w:r w:rsidR="00B43D08" w:rsidRPr="00844541">
        <w:rPr>
          <w:lang w:val="fr-FR"/>
        </w:rPr>
        <w:t> </w:t>
      </w:r>
      <w:r w:rsidR="00106A93" w:rsidRPr="00844541">
        <w:rPr>
          <w:lang w:val="fr-FR"/>
        </w:rPr>
        <w:t xml:space="preserve">EUR </w:t>
      </w:r>
      <w:r w:rsidR="00210655" w:rsidRPr="00844541">
        <w:rPr>
          <w:lang w:val="fr-FR"/>
        </w:rPr>
        <w:t>au titre d</w:t>
      </w:r>
      <w:r w:rsidR="00105133" w:rsidRPr="00844541">
        <w:rPr>
          <w:lang w:val="fr-FR"/>
        </w:rPr>
        <w:t xml:space="preserve">es </w:t>
      </w:r>
      <w:r w:rsidR="00210655" w:rsidRPr="00844541">
        <w:rPr>
          <w:lang w:val="fr-FR"/>
        </w:rPr>
        <w:t>honoraire</w:t>
      </w:r>
      <w:r w:rsidR="00023F21" w:rsidRPr="00844541">
        <w:rPr>
          <w:lang w:val="fr-FR"/>
        </w:rPr>
        <w:t>s</w:t>
      </w:r>
      <w:r w:rsidR="00210655" w:rsidRPr="00844541">
        <w:rPr>
          <w:lang w:val="fr-FR"/>
        </w:rPr>
        <w:t xml:space="preserve"> </w:t>
      </w:r>
      <w:r w:rsidR="00106A93" w:rsidRPr="00844541">
        <w:rPr>
          <w:lang w:val="fr-FR"/>
        </w:rPr>
        <w:t>pour M</w:t>
      </w:r>
      <w:r w:rsidR="00106A93" w:rsidRPr="00844541">
        <w:rPr>
          <w:vertAlign w:val="superscript"/>
          <w:lang w:val="fr-FR"/>
        </w:rPr>
        <w:t>e</w:t>
      </w:r>
      <w:r w:rsidR="001D4D55" w:rsidRPr="00844541">
        <w:rPr>
          <w:lang w:val="fr-FR"/>
        </w:rPr>
        <w:t xml:space="preserve"> C.</w:t>
      </w:r>
      <w:r w:rsidR="00106A93" w:rsidRPr="00844541">
        <w:rPr>
          <w:lang w:val="fr-FR"/>
        </w:rPr>
        <w:t>T. Borsany</w:t>
      </w:r>
      <w:r w:rsidR="007D729A" w:rsidRPr="00844541">
        <w:rPr>
          <w:lang w:val="fr-FR"/>
        </w:rPr>
        <w:t>i</w:t>
      </w:r>
      <w:r w:rsidR="00023F21" w:rsidRPr="00844541">
        <w:rPr>
          <w:lang w:val="fr-FR"/>
        </w:rPr>
        <w:t>,</w:t>
      </w:r>
      <w:r w:rsidR="00210655" w:rsidRPr="00844541">
        <w:rPr>
          <w:lang w:val="fr-FR"/>
        </w:rPr>
        <w:t xml:space="preserve"> 71,54</w:t>
      </w:r>
      <w:r w:rsidR="00B43D08" w:rsidRPr="00844541">
        <w:rPr>
          <w:lang w:val="fr-FR"/>
        </w:rPr>
        <w:t> </w:t>
      </w:r>
      <w:r w:rsidR="00210655" w:rsidRPr="00844541">
        <w:rPr>
          <w:lang w:val="fr-FR"/>
        </w:rPr>
        <w:t>EUR représentant des frais de correspondance supportés par cette dernière</w:t>
      </w:r>
      <w:r w:rsidR="00106A93" w:rsidRPr="00844541">
        <w:rPr>
          <w:lang w:val="fr-FR"/>
        </w:rPr>
        <w:t>, à verser directement à l</w:t>
      </w:r>
      <w:r w:rsidR="00844541">
        <w:rPr>
          <w:lang w:val="fr-FR"/>
        </w:rPr>
        <w:t>’</w:t>
      </w:r>
      <w:r w:rsidR="00106A93" w:rsidRPr="00844541">
        <w:rPr>
          <w:lang w:val="fr-FR"/>
        </w:rPr>
        <w:t xml:space="preserve">avocate, et </w:t>
      </w:r>
      <w:r w:rsidR="003B238A" w:rsidRPr="00844541">
        <w:rPr>
          <w:lang w:val="fr-FR"/>
        </w:rPr>
        <w:t>300</w:t>
      </w:r>
      <w:r w:rsidR="00B43D08" w:rsidRPr="00844541">
        <w:rPr>
          <w:lang w:val="fr-FR"/>
        </w:rPr>
        <w:t> </w:t>
      </w:r>
      <w:r w:rsidR="003B238A" w:rsidRPr="00844541">
        <w:rPr>
          <w:lang w:val="fr-FR"/>
        </w:rPr>
        <w:t xml:space="preserve">EUR représentant les frais de secrétariat et de correspondance à verser à </w:t>
      </w:r>
      <w:r w:rsidR="008B32CD" w:rsidRPr="00844541">
        <w:rPr>
          <w:lang w:val="fr-FR"/>
        </w:rPr>
        <w:t>l</w:t>
      </w:r>
      <w:r w:rsidR="00844541">
        <w:rPr>
          <w:lang w:val="fr-FR"/>
        </w:rPr>
        <w:t>’</w:t>
      </w:r>
      <w:r w:rsidR="008B32CD" w:rsidRPr="00844541">
        <w:rPr>
          <w:lang w:val="fr-FR"/>
        </w:rPr>
        <w:t>Association pour la défense des droits de l</w:t>
      </w:r>
      <w:r w:rsidR="00844541">
        <w:rPr>
          <w:lang w:val="fr-FR"/>
        </w:rPr>
        <w:t>’</w:t>
      </w:r>
      <w:r w:rsidR="008B32CD" w:rsidRPr="00844541">
        <w:rPr>
          <w:lang w:val="fr-FR"/>
        </w:rPr>
        <w:t>homme en Roumanie – le Comité Helsinki («</w:t>
      </w:r>
      <w:r w:rsidR="00FA1BFC" w:rsidRPr="00844541">
        <w:rPr>
          <w:lang w:val="fr-FR"/>
        </w:rPr>
        <w:t> </w:t>
      </w:r>
      <w:r w:rsidR="008B32CD" w:rsidRPr="00844541">
        <w:rPr>
          <w:lang w:val="fr-FR"/>
        </w:rPr>
        <w:t>APADOR-CH</w:t>
      </w:r>
      <w:r w:rsidR="00FA1BFC" w:rsidRPr="00844541">
        <w:rPr>
          <w:lang w:val="fr-FR"/>
        </w:rPr>
        <w:t> </w:t>
      </w:r>
      <w:r w:rsidR="008B32CD" w:rsidRPr="00844541">
        <w:rPr>
          <w:lang w:val="fr-FR"/>
        </w:rPr>
        <w:t>»)</w:t>
      </w:r>
      <w:bookmarkStart w:id="27" w:name="_ftnref1"/>
      <w:bookmarkEnd w:id="27"/>
      <w:r w:rsidR="00927E19" w:rsidRPr="00844541">
        <w:rPr>
          <w:lang w:val="fr-FR"/>
        </w:rPr>
        <w:t>. Les requérants ont versé au dossier le récapitulatif des heures de travail de leurs avocates et les contrats d</w:t>
      </w:r>
      <w:r w:rsidR="00844541">
        <w:rPr>
          <w:lang w:val="fr-FR"/>
        </w:rPr>
        <w:t>’</w:t>
      </w:r>
      <w:r w:rsidR="00927E19" w:rsidRPr="00844541">
        <w:rPr>
          <w:lang w:val="fr-FR"/>
        </w:rPr>
        <w:t>assistance judiciaire</w:t>
      </w:r>
      <w:r w:rsidR="00AC05F6" w:rsidRPr="00844541">
        <w:rPr>
          <w:lang w:val="fr-FR"/>
        </w:rPr>
        <w:t>, ainsi que</w:t>
      </w:r>
      <w:r w:rsidR="00927E19" w:rsidRPr="00844541">
        <w:rPr>
          <w:lang w:val="fr-FR"/>
        </w:rPr>
        <w:t xml:space="preserve"> la convention conclue avec APADOR-CH par laquelle cette dernière association s</w:t>
      </w:r>
      <w:r w:rsidR="00844541">
        <w:rPr>
          <w:lang w:val="fr-FR"/>
        </w:rPr>
        <w:t>’</w:t>
      </w:r>
      <w:r w:rsidR="00927E19" w:rsidRPr="00844541">
        <w:rPr>
          <w:lang w:val="fr-FR"/>
        </w:rPr>
        <w:t>était engagée à supporter les frais de secrétariat nécessaires pour soutenir la présente requête devant la Cour.</w:t>
      </w:r>
    </w:p>
    <w:p w:rsidR="00217BB0" w:rsidRPr="00844541" w:rsidRDefault="00927E19"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167</w:t>
      </w:r>
      <w:r w:rsidRPr="00844541">
        <w:fldChar w:fldCharType="end"/>
      </w:r>
      <w:r w:rsidRPr="00844541">
        <w:rPr>
          <w:lang w:val="fr-FR"/>
        </w:rPr>
        <w:t>.  Le Gouvernement considère que les honoraires de l</w:t>
      </w:r>
      <w:r w:rsidR="00844541">
        <w:rPr>
          <w:lang w:val="fr-FR"/>
        </w:rPr>
        <w:t>’</w:t>
      </w:r>
      <w:r w:rsidRPr="00844541">
        <w:rPr>
          <w:lang w:val="fr-FR"/>
        </w:rPr>
        <w:t xml:space="preserve">avocate </w:t>
      </w:r>
      <w:r w:rsidR="00217BB0" w:rsidRPr="00844541">
        <w:rPr>
          <w:lang w:val="fr-FR"/>
        </w:rPr>
        <w:t>D.O.</w:t>
      </w:r>
      <w:r w:rsidR="00B27CE4" w:rsidRPr="00844541">
        <w:rPr>
          <w:lang w:val="fr-FR"/>
        </w:rPr>
        <w:t> </w:t>
      </w:r>
      <w:r w:rsidR="00217BB0" w:rsidRPr="00844541">
        <w:rPr>
          <w:lang w:val="fr-FR"/>
        </w:rPr>
        <w:t xml:space="preserve">Hatneanu </w:t>
      </w:r>
      <w:r w:rsidRPr="00844541">
        <w:rPr>
          <w:lang w:val="fr-FR"/>
        </w:rPr>
        <w:t>sont excessifs et non nécessaires</w:t>
      </w:r>
      <w:r w:rsidR="00217BB0" w:rsidRPr="00844541">
        <w:rPr>
          <w:lang w:val="fr-FR"/>
        </w:rPr>
        <w:t>, compte tenu de ce qu</w:t>
      </w:r>
      <w:r w:rsidR="00844541">
        <w:rPr>
          <w:lang w:val="fr-FR"/>
        </w:rPr>
        <w:t>’</w:t>
      </w:r>
      <w:r w:rsidR="00217BB0" w:rsidRPr="00844541">
        <w:rPr>
          <w:lang w:val="fr-FR"/>
        </w:rPr>
        <w:t>elle a représenté les requérants dans la présente procédure uniquement après la communication de la requête au Gouvernement et de ce qu</w:t>
      </w:r>
      <w:r w:rsidR="00844541">
        <w:rPr>
          <w:lang w:val="fr-FR"/>
        </w:rPr>
        <w:t>’</w:t>
      </w:r>
      <w:r w:rsidR="00217BB0" w:rsidRPr="00844541">
        <w:rPr>
          <w:lang w:val="fr-FR"/>
        </w:rPr>
        <w:t xml:space="preserve">elle représente plusieurs requérants dans des affaires similaires devant la Cour. </w:t>
      </w:r>
      <w:r w:rsidR="001B4693" w:rsidRPr="00844541">
        <w:rPr>
          <w:lang w:val="fr-FR"/>
        </w:rPr>
        <w:t xml:space="preserve">Il considère que les frais sollicités par cette avocate pour les observations complémentaires ne devraient pas faire partie des frais et dépens. </w:t>
      </w:r>
      <w:r w:rsidR="00217BB0" w:rsidRPr="00844541">
        <w:rPr>
          <w:lang w:val="fr-FR"/>
        </w:rPr>
        <w:t xml:space="preserve">Pour ce </w:t>
      </w:r>
      <w:r w:rsidR="00217BB0" w:rsidRPr="00844541">
        <w:rPr>
          <w:lang w:val="fr-FR"/>
        </w:rPr>
        <w:lastRenderedPageBreak/>
        <w:t>qui est des frais sollicités par M</w:t>
      </w:r>
      <w:r w:rsidR="00217BB0" w:rsidRPr="00844541">
        <w:rPr>
          <w:vertAlign w:val="superscript"/>
          <w:lang w:val="fr-FR"/>
        </w:rPr>
        <w:t>e</w:t>
      </w:r>
      <w:r w:rsidR="00217BB0" w:rsidRPr="00844541">
        <w:rPr>
          <w:lang w:val="fr-FR"/>
        </w:rPr>
        <w:t xml:space="preserve"> C.T. Borsany</w:t>
      </w:r>
      <w:r w:rsidR="007D729A" w:rsidRPr="00844541">
        <w:rPr>
          <w:lang w:val="fr-FR"/>
        </w:rPr>
        <w:t>i</w:t>
      </w:r>
      <w:r w:rsidR="00AC05F6" w:rsidRPr="00844541">
        <w:rPr>
          <w:lang w:val="fr-FR"/>
        </w:rPr>
        <w:t>,</w:t>
      </w:r>
      <w:r w:rsidR="00217BB0" w:rsidRPr="00844541">
        <w:rPr>
          <w:lang w:val="fr-FR"/>
        </w:rPr>
        <w:t xml:space="preserve"> qui a introduit la requête devant la Cour, le Gouvernement invite la Cour à octroyer, en équité, une somme pour les frais réellement </w:t>
      </w:r>
      <w:r w:rsidR="00AC05F6" w:rsidRPr="00844541">
        <w:rPr>
          <w:lang w:val="fr-FR"/>
        </w:rPr>
        <w:t xml:space="preserve">exposés </w:t>
      </w:r>
      <w:r w:rsidR="00217BB0" w:rsidRPr="00844541">
        <w:rPr>
          <w:lang w:val="fr-FR"/>
        </w:rPr>
        <w:t xml:space="preserve">et </w:t>
      </w:r>
      <w:r w:rsidR="00AC05F6" w:rsidRPr="00844541">
        <w:rPr>
          <w:lang w:val="fr-FR"/>
        </w:rPr>
        <w:t>incontournables</w:t>
      </w:r>
      <w:r w:rsidR="00217BB0" w:rsidRPr="00844541">
        <w:rPr>
          <w:lang w:val="fr-FR"/>
        </w:rPr>
        <w:t>.</w:t>
      </w:r>
    </w:p>
    <w:p w:rsidR="00927E19" w:rsidRPr="00844541" w:rsidRDefault="00927E19"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168</w:t>
      </w:r>
      <w:r w:rsidRPr="00844541">
        <w:fldChar w:fldCharType="end"/>
      </w:r>
      <w:r w:rsidRPr="00844541">
        <w:rPr>
          <w:lang w:val="fr-FR"/>
        </w:rPr>
        <w:t xml:space="preserve">.  Selon la jurisprudence de la Cour, un requérant ne peut obtenir le remboursement de ses frais et dépens que dans la mesure où se trouvent établis leur réalité, leur nécessité et le caractère raisonnable de leur taux (voir, par exemple, </w:t>
      </w:r>
      <w:r w:rsidRPr="00844541">
        <w:rPr>
          <w:i/>
          <w:lang w:val="fr-FR"/>
        </w:rPr>
        <w:t>Nilsen et Johnsen c. Norvège</w:t>
      </w:r>
      <w:r w:rsidRPr="00844541">
        <w:rPr>
          <w:lang w:val="fr-FR"/>
        </w:rPr>
        <w:t xml:space="preserve"> [GC], n</w:t>
      </w:r>
      <w:r w:rsidRPr="00844541">
        <w:rPr>
          <w:vertAlign w:val="superscript"/>
          <w:lang w:val="fr-FR"/>
        </w:rPr>
        <w:t>o</w:t>
      </w:r>
      <w:r w:rsidRPr="00844541">
        <w:rPr>
          <w:lang w:val="fr-FR"/>
        </w:rPr>
        <w:t xml:space="preserve"> 23118/93, § 62, CEDH 1999</w:t>
      </w:r>
      <w:r w:rsidRPr="00844541">
        <w:rPr>
          <w:lang w:val="fr-FR"/>
        </w:rPr>
        <w:noBreakHyphen/>
        <w:t>VIII). En l</w:t>
      </w:r>
      <w:r w:rsidR="00844541">
        <w:rPr>
          <w:lang w:val="fr-FR"/>
        </w:rPr>
        <w:t>’</w:t>
      </w:r>
      <w:r w:rsidRPr="00844541">
        <w:rPr>
          <w:lang w:val="fr-FR"/>
        </w:rPr>
        <w:t xml:space="preserve">espèce, </w:t>
      </w:r>
      <w:r w:rsidR="003939D2" w:rsidRPr="00844541">
        <w:rPr>
          <w:lang w:val="fr-FR"/>
        </w:rPr>
        <w:t xml:space="preserve">la Cour note que </w:t>
      </w:r>
      <w:r w:rsidRPr="00844541">
        <w:rPr>
          <w:lang w:val="fr-FR"/>
        </w:rPr>
        <w:t>le</w:t>
      </w:r>
      <w:r w:rsidR="00EA7B69" w:rsidRPr="00844541">
        <w:rPr>
          <w:lang w:val="fr-FR"/>
        </w:rPr>
        <w:t>s</w:t>
      </w:r>
      <w:r w:rsidRPr="00844541">
        <w:rPr>
          <w:lang w:val="fr-FR"/>
        </w:rPr>
        <w:t xml:space="preserve"> requérant</w:t>
      </w:r>
      <w:r w:rsidR="00EA7B69" w:rsidRPr="00844541">
        <w:rPr>
          <w:lang w:val="fr-FR"/>
        </w:rPr>
        <w:t>s</w:t>
      </w:r>
      <w:r w:rsidRPr="00844541">
        <w:rPr>
          <w:lang w:val="fr-FR"/>
        </w:rPr>
        <w:t xml:space="preserve"> indique</w:t>
      </w:r>
      <w:r w:rsidR="00EA7B69" w:rsidRPr="00844541">
        <w:rPr>
          <w:lang w:val="fr-FR"/>
        </w:rPr>
        <w:t>nt</w:t>
      </w:r>
      <w:r w:rsidRPr="00844541">
        <w:rPr>
          <w:lang w:val="fr-FR"/>
        </w:rPr>
        <w:t xml:space="preserve"> en détail et avec précision la ve</w:t>
      </w:r>
      <w:r w:rsidR="00A74A79" w:rsidRPr="00844541">
        <w:rPr>
          <w:lang w:val="fr-FR"/>
        </w:rPr>
        <w:t xml:space="preserve">ntilation </w:t>
      </w:r>
      <w:r w:rsidR="00FA1BFC" w:rsidRPr="00844541">
        <w:rPr>
          <w:lang w:val="fr-FR"/>
        </w:rPr>
        <w:t>de leurs prétention</w:t>
      </w:r>
      <w:r w:rsidR="00A74A79" w:rsidRPr="00844541">
        <w:rPr>
          <w:lang w:val="fr-FR"/>
        </w:rPr>
        <w:t>s. C</w:t>
      </w:r>
      <w:r w:rsidRPr="00844541">
        <w:rPr>
          <w:lang w:val="fr-FR"/>
        </w:rPr>
        <w:t>ompte tenu de la nature de l</w:t>
      </w:r>
      <w:r w:rsidR="00844541">
        <w:rPr>
          <w:lang w:val="fr-FR"/>
        </w:rPr>
        <w:t>’</w:t>
      </w:r>
      <w:r w:rsidRPr="00844541">
        <w:rPr>
          <w:lang w:val="fr-FR"/>
        </w:rPr>
        <w:t xml:space="preserve">affaire, des documents </w:t>
      </w:r>
      <w:r w:rsidR="00FA1BFC" w:rsidRPr="00844541">
        <w:rPr>
          <w:lang w:val="fr-FR"/>
        </w:rPr>
        <w:t>dont elle dispose</w:t>
      </w:r>
      <w:r w:rsidRPr="00844541">
        <w:rPr>
          <w:lang w:val="fr-FR"/>
        </w:rPr>
        <w:t xml:space="preserve"> et des critères susmentionnés, </w:t>
      </w:r>
      <w:r w:rsidR="003939D2" w:rsidRPr="00844541">
        <w:rPr>
          <w:lang w:val="fr-FR"/>
        </w:rPr>
        <w:t>elle</w:t>
      </w:r>
      <w:r w:rsidRPr="00844541">
        <w:rPr>
          <w:lang w:val="fr-FR"/>
        </w:rPr>
        <w:t xml:space="preserve"> estime raisonnable la somme de </w:t>
      </w:r>
      <w:r w:rsidR="00EA7B69" w:rsidRPr="00844541">
        <w:rPr>
          <w:lang w:val="fr-FR"/>
        </w:rPr>
        <w:t>2</w:t>
      </w:r>
      <w:r w:rsidR="00A74A79" w:rsidRPr="00844541">
        <w:rPr>
          <w:lang w:val="fr-FR"/>
        </w:rPr>
        <w:t xml:space="preserve"> 202 </w:t>
      </w:r>
      <w:r w:rsidRPr="00844541">
        <w:rPr>
          <w:lang w:val="fr-FR"/>
        </w:rPr>
        <w:t xml:space="preserve">EUR pour les honoraires de </w:t>
      </w:r>
      <w:r w:rsidR="00A74A79" w:rsidRPr="00844541">
        <w:rPr>
          <w:lang w:val="fr-FR"/>
        </w:rPr>
        <w:t>M</w:t>
      </w:r>
      <w:r w:rsidR="00A74A79" w:rsidRPr="00844541">
        <w:rPr>
          <w:vertAlign w:val="superscript"/>
          <w:lang w:val="fr-FR"/>
        </w:rPr>
        <w:t>e</w:t>
      </w:r>
      <w:r w:rsidR="00146A7A" w:rsidRPr="00844541">
        <w:rPr>
          <w:lang w:val="fr-FR"/>
        </w:rPr>
        <w:t> </w:t>
      </w:r>
      <w:r w:rsidR="00A74A79" w:rsidRPr="00844541">
        <w:rPr>
          <w:lang w:val="fr-FR"/>
        </w:rPr>
        <w:t>D.O.</w:t>
      </w:r>
      <w:r w:rsidR="00A34AC8" w:rsidRPr="00844541">
        <w:rPr>
          <w:lang w:val="fr-FR"/>
        </w:rPr>
        <w:t> </w:t>
      </w:r>
      <w:r w:rsidR="00A74A79" w:rsidRPr="00844541">
        <w:rPr>
          <w:lang w:val="fr-FR"/>
        </w:rPr>
        <w:t xml:space="preserve">Hatneanu et </w:t>
      </w:r>
      <w:r w:rsidR="00105133" w:rsidRPr="00844541">
        <w:rPr>
          <w:lang w:val="fr-FR"/>
        </w:rPr>
        <w:t xml:space="preserve">de </w:t>
      </w:r>
      <w:r w:rsidR="00A74A79" w:rsidRPr="00844541">
        <w:rPr>
          <w:lang w:val="fr-FR"/>
        </w:rPr>
        <w:t xml:space="preserve">2 385 EUR pour les honoraires de </w:t>
      </w:r>
      <w:r w:rsidR="009248FC" w:rsidRPr="00844541">
        <w:rPr>
          <w:lang w:val="fr-FR"/>
        </w:rPr>
        <w:t>M</w:t>
      </w:r>
      <w:r w:rsidR="009248FC" w:rsidRPr="00844541">
        <w:rPr>
          <w:vertAlign w:val="superscript"/>
          <w:lang w:val="fr-FR"/>
        </w:rPr>
        <w:t>e</w:t>
      </w:r>
      <w:r w:rsidR="009248FC" w:rsidRPr="00844541">
        <w:rPr>
          <w:lang w:val="fr-FR"/>
        </w:rPr>
        <w:t> </w:t>
      </w:r>
      <w:r w:rsidR="00A74A79" w:rsidRPr="00844541">
        <w:rPr>
          <w:lang w:val="fr-FR"/>
        </w:rPr>
        <w:t>C.T. Borsany</w:t>
      </w:r>
      <w:r w:rsidR="007D729A" w:rsidRPr="00844541">
        <w:rPr>
          <w:lang w:val="fr-FR"/>
        </w:rPr>
        <w:t>i</w:t>
      </w:r>
      <w:r w:rsidR="00A74A79" w:rsidRPr="00844541">
        <w:rPr>
          <w:lang w:val="fr-FR"/>
        </w:rPr>
        <w:t xml:space="preserve">, à </w:t>
      </w:r>
      <w:r w:rsidRPr="00844541">
        <w:rPr>
          <w:lang w:val="fr-FR"/>
        </w:rPr>
        <w:t xml:space="preserve">payer directement </w:t>
      </w:r>
      <w:r w:rsidR="00EA7B69" w:rsidRPr="00844541">
        <w:rPr>
          <w:lang w:val="fr-FR"/>
        </w:rPr>
        <w:t>aux</w:t>
      </w:r>
      <w:r w:rsidR="00A74A79" w:rsidRPr="00844541">
        <w:rPr>
          <w:lang w:val="fr-FR"/>
        </w:rPr>
        <w:t xml:space="preserve"> avocates</w:t>
      </w:r>
      <w:r w:rsidRPr="00844541">
        <w:rPr>
          <w:lang w:val="fr-FR"/>
        </w:rPr>
        <w:t xml:space="preserve">. La Cour estime également raisonnable la somme de </w:t>
      </w:r>
      <w:r w:rsidR="00EA7B69" w:rsidRPr="00844541">
        <w:rPr>
          <w:lang w:val="fr-FR"/>
        </w:rPr>
        <w:t xml:space="preserve">71 EUR </w:t>
      </w:r>
      <w:r w:rsidRPr="00844541">
        <w:rPr>
          <w:lang w:val="fr-FR"/>
        </w:rPr>
        <w:t xml:space="preserve">pour les frais </w:t>
      </w:r>
      <w:r w:rsidR="00EA7B69" w:rsidRPr="00844541">
        <w:rPr>
          <w:lang w:val="fr-FR"/>
        </w:rPr>
        <w:t xml:space="preserve">de correspondance </w:t>
      </w:r>
      <w:r w:rsidR="00FA1BFC" w:rsidRPr="00844541">
        <w:rPr>
          <w:lang w:val="fr-FR"/>
        </w:rPr>
        <w:t xml:space="preserve">exposés </w:t>
      </w:r>
      <w:r w:rsidR="00EA7B69" w:rsidRPr="00844541">
        <w:rPr>
          <w:lang w:val="fr-FR"/>
        </w:rPr>
        <w:t>par M</w:t>
      </w:r>
      <w:r w:rsidR="00EA7B69" w:rsidRPr="00844541">
        <w:rPr>
          <w:vertAlign w:val="superscript"/>
          <w:lang w:val="fr-FR"/>
        </w:rPr>
        <w:t>e</w:t>
      </w:r>
      <w:r w:rsidR="00A34AC8" w:rsidRPr="00844541">
        <w:rPr>
          <w:lang w:val="fr-FR"/>
        </w:rPr>
        <w:t> </w:t>
      </w:r>
      <w:r w:rsidR="00EA7B69" w:rsidRPr="00844541">
        <w:rPr>
          <w:lang w:val="fr-FR"/>
        </w:rPr>
        <w:t>C.T.</w:t>
      </w:r>
      <w:r w:rsidR="00A34AC8" w:rsidRPr="00844541">
        <w:rPr>
          <w:lang w:val="fr-FR"/>
        </w:rPr>
        <w:t> </w:t>
      </w:r>
      <w:r w:rsidR="00EA7B69" w:rsidRPr="00844541">
        <w:rPr>
          <w:lang w:val="fr-FR"/>
        </w:rPr>
        <w:t>Borsany</w:t>
      </w:r>
      <w:r w:rsidR="007D729A" w:rsidRPr="00844541">
        <w:rPr>
          <w:lang w:val="fr-FR"/>
        </w:rPr>
        <w:t>i</w:t>
      </w:r>
      <w:r w:rsidR="00EA7B69" w:rsidRPr="00844541">
        <w:rPr>
          <w:lang w:val="fr-FR"/>
        </w:rPr>
        <w:t xml:space="preserve"> et l</w:t>
      </w:r>
      <w:r w:rsidR="00844541">
        <w:rPr>
          <w:lang w:val="fr-FR"/>
        </w:rPr>
        <w:t>’</w:t>
      </w:r>
      <w:r w:rsidR="00EA7B69" w:rsidRPr="00844541">
        <w:rPr>
          <w:lang w:val="fr-FR"/>
        </w:rPr>
        <w:t xml:space="preserve">accorde à cette dernière ainsi que celle de 300 EUR pour les frais de secrétariat et de correspondance </w:t>
      </w:r>
      <w:r w:rsidRPr="00844541">
        <w:rPr>
          <w:lang w:val="fr-FR"/>
        </w:rPr>
        <w:t>d</w:t>
      </w:r>
      <w:r w:rsidR="00844541">
        <w:rPr>
          <w:lang w:val="fr-FR"/>
        </w:rPr>
        <w:t>’</w:t>
      </w:r>
      <w:r w:rsidRPr="00844541">
        <w:rPr>
          <w:lang w:val="fr-FR"/>
        </w:rPr>
        <w:t>APADOR-CH (</w:t>
      </w:r>
      <w:r w:rsidR="00083FA0" w:rsidRPr="00844541">
        <w:rPr>
          <w:lang w:val="fr-FR"/>
        </w:rPr>
        <w:t xml:space="preserve">voir, en ce sens, </w:t>
      </w:r>
      <w:r w:rsidRPr="00844541">
        <w:rPr>
          <w:i/>
          <w:lang w:val="fr-FR"/>
        </w:rPr>
        <w:t>Cobzaru c. Roumanie</w:t>
      </w:r>
      <w:r w:rsidRPr="00844541">
        <w:rPr>
          <w:lang w:val="fr-FR"/>
        </w:rPr>
        <w:t>, n</w:t>
      </w:r>
      <w:r w:rsidRPr="00844541">
        <w:rPr>
          <w:vertAlign w:val="superscript"/>
          <w:lang w:val="fr-FR"/>
        </w:rPr>
        <w:t>o</w:t>
      </w:r>
      <w:r w:rsidRPr="00844541">
        <w:rPr>
          <w:lang w:val="fr-FR"/>
        </w:rPr>
        <w:t> </w:t>
      </w:r>
      <w:r w:rsidR="0036302C" w:rsidRPr="00844541">
        <w:rPr>
          <w:lang w:val="fr-FR"/>
        </w:rPr>
        <w:t>48254/99, § </w:t>
      </w:r>
      <w:r w:rsidRPr="00844541">
        <w:rPr>
          <w:lang w:val="fr-FR"/>
        </w:rPr>
        <w:t>111, 26 juillet 2007)</w:t>
      </w:r>
      <w:r w:rsidR="003939D2" w:rsidRPr="00844541">
        <w:rPr>
          <w:lang w:val="fr-FR"/>
        </w:rPr>
        <w:t>,</w:t>
      </w:r>
      <w:r w:rsidRPr="00844541">
        <w:rPr>
          <w:lang w:val="fr-FR"/>
        </w:rPr>
        <w:t xml:space="preserve"> à verser directement à cette dernière.</w:t>
      </w:r>
    </w:p>
    <w:p w:rsidR="00EC6427" w:rsidRPr="00844541" w:rsidRDefault="00EC6427" w:rsidP="00844541">
      <w:pPr>
        <w:pStyle w:val="ECHRHeading2"/>
      </w:pPr>
      <w:r w:rsidRPr="00844541">
        <w:t>C.  Intérêts moratoires</w:t>
      </w:r>
    </w:p>
    <w:p w:rsidR="00EC6427" w:rsidRPr="00844541" w:rsidRDefault="00AA632A" w:rsidP="00844541">
      <w:pPr>
        <w:pStyle w:val="ECHRPara"/>
        <w:rPr>
          <w:lang w:val="fr-FR"/>
        </w:rPr>
      </w:pPr>
      <w:r w:rsidRPr="00844541">
        <w:fldChar w:fldCharType="begin"/>
      </w:r>
      <w:r w:rsidRPr="00844541">
        <w:rPr>
          <w:lang w:val="fr-FR"/>
        </w:rPr>
        <w:instrText xml:space="preserve"> SEQ level0 \*arabic </w:instrText>
      </w:r>
      <w:r w:rsidRPr="00844541">
        <w:fldChar w:fldCharType="separate"/>
      </w:r>
      <w:r w:rsidR="00767866">
        <w:rPr>
          <w:noProof/>
          <w:lang w:val="fr-FR"/>
        </w:rPr>
        <w:t>169</w:t>
      </w:r>
      <w:r w:rsidRPr="00844541">
        <w:rPr>
          <w:noProof/>
        </w:rPr>
        <w:fldChar w:fldCharType="end"/>
      </w:r>
      <w:r w:rsidR="00EC6427" w:rsidRPr="00844541">
        <w:rPr>
          <w:lang w:val="fr-FR"/>
        </w:rPr>
        <w:t xml:space="preserve">.  La Cour juge approprié de </w:t>
      </w:r>
      <w:r w:rsidR="0053642D" w:rsidRPr="00844541">
        <w:rPr>
          <w:lang w:val="fr-FR"/>
        </w:rPr>
        <w:t>calquer</w:t>
      </w:r>
      <w:r w:rsidR="00EC6427" w:rsidRPr="00844541">
        <w:rPr>
          <w:lang w:val="fr-FR"/>
        </w:rPr>
        <w:t xml:space="preserve"> le taux des intérêts moratoires sur le taux d</w:t>
      </w:r>
      <w:r w:rsidR="00844541">
        <w:rPr>
          <w:lang w:val="fr-FR"/>
        </w:rPr>
        <w:t>’</w:t>
      </w:r>
      <w:r w:rsidR="00EC6427" w:rsidRPr="00844541">
        <w:rPr>
          <w:lang w:val="fr-FR"/>
        </w:rPr>
        <w:t>intérêt de la facilité de prêt marginal de la Banque centrale européenne majoré de trois points de pourcentage.</w:t>
      </w:r>
    </w:p>
    <w:p w:rsidR="00EC6427" w:rsidRPr="00844541" w:rsidRDefault="00F25880" w:rsidP="00844541">
      <w:pPr>
        <w:pStyle w:val="ECHRTitle1"/>
      </w:pPr>
      <w:r w:rsidRPr="00844541">
        <w:t>PAR CES MOTIFS, LA COUR</w:t>
      </w:r>
      <w:r w:rsidR="00835688" w:rsidRPr="00844541">
        <w:rPr>
          <w:noProof/>
        </w:rPr>
        <w:t>, À L</w:t>
      </w:r>
      <w:r w:rsidR="00844541">
        <w:rPr>
          <w:noProof/>
        </w:rPr>
        <w:t>’</w:t>
      </w:r>
      <w:r w:rsidRPr="00844541">
        <w:rPr>
          <w:noProof/>
        </w:rPr>
        <w:t>UNANIMITÉ,</w:t>
      </w:r>
    </w:p>
    <w:p w:rsidR="00835688" w:rsidRPr="00844541" w:rsidRDefault="006B2F90" w:rsidP="00844541">
      <w:pPr>
        <w:pStyle w:val="JuList"/>
      </w:pPr>
      <w:r w:rsidRPr="00844541">
        <w:t>1</w:t>
      </w:r>
      <w:r w:rsidR="00E168C6" w:rsidRPr="00844541">
        <w:t>.  </w:t>
      </w:r>
      <w:r w:rsidR="00EC6427" w:rsidRPr="00844541">
        <w:rPr>
          <w:i/>
        </w:rPr>
        <w:t>Déclare</w:t>
      </w:r>
      <w:r w:rsidR="00835688" w:rsidRPr="00844541">
        <w:rPr>
          <w:noProof/>
        </w:rPr>
        <w:t>, à l</w:t>
      </w:r>
      <w:r w:rsidR="00844541">
        <w:rPr>
          <w:noProof/>
        </w:rPr>
        <w:t>’</w:t>
      </w:r>
      <w:r w:rsidR="00F25880" w:rsidRPr="00844541">
        <w:rPr>
          <w:noProof/>
        </w:rPr>
        <w:t>unanimité,</w:t>
      </w:r>
      <w:r w:rsidR="00835688" w:rsidRPr="00844541">
        <w:rPr>
          <w:noProof/>
        </w:rPr>
        <w:t xml:space="preserve"> la requête recevable</w:t>
      </w:r>
      <w:r w:rsidR="00EC6427" w:rsidRPr="00844541">
        <w:t xml:space="preserve"> quant aux griefs tirés de </w:t>
      </w:r>
      <w:r w:rsidR="00037A0F" w:rsidRPr="00844541">
        <w:t>l</w:t>
      </w:r>
      <w:r w:rsidR="00844541">
        <w:t>’</w:t>
      </w:r>
      <w:r w:rsidR="00037A0F" w:rsidRPr="00844541">
        <w:t>article 6 § 1 de la Convention pour ce qui est du droit</w:t>
      </w:r>
      <w:r w:rsidR="002078FF" w:rsidRPr="00844541">
        <w:t xml:space="preserve"> d</w:t>
      </w:r>
      <w:r w:rsidR="00844541">
        <w:t>’</w:t>
      </w:r>
      <w:r w:rsidR="002078FF" w:rsidRPr="00844541">
        <w:t>accès à un tribunal, du respect du principe de la sécurité juridique et du droit</w:t>
      </w:r>
      <w:r w:rsidR="00037A0F" w:rsidRPr="00844541">
        <w:t xml:space="preserve"> </w:t>
      </w:r>
      <w:r w:rsidR="007F75C8" w:rsidRPr="00844541">
        <w:t xml:space="preserve">à un procès équitable </w:t>
      </w:r>
      <w:r w:rsidR="002078FF" w:rsidRPr="00844541">
        <w:t>dans un délai raisonnable</w:t>
      </w:r>
      <w:r w:rsidR="00464567" w:rsidRPr="00844541">
        <w:t>,</w:t>
      </w:r>
      <w:r w:rsidR="002078FF" w:rsidRPr="00844541">
        <w:t xml:space="preserve"> et au grief tiré de </w:t>
      </w:r>
      <w:r w:rsidR="00037A0F" w:rsidRPr="00844541">
        <w:t>l</w:t>
      </w:r>
      <w:r w:rsidR="00844541">
        <w:t>’</w:t>
      </w:r>
      <w:r w:rsidR="00037A0F" w:rsidRPr="00844541">
        <w:t>article 14 de la Convention</w:t>
      </w:r>
      <w:r w:rsidR="002078FF" w:rsidRPr="00844541">
        <w:rPr>
          <w:lang w:eastAsia="en-US"/>
        </w:rPr>
        <w:t xml:space="preserve"> combiné avec </w:t>
      </w:r>
      <w:r w:rsidR="002078FF" w:rsidRPr="00844541">
        <w:t>l</w:t>
      </w:r>
      <w:r w:rsidR="00844541">
        <w:t>’</w:t>
      </w:r>
      <w:r w:rsidR="002078FF" w:rsidRPr="00844541">
        <w:t>article 6 § 1 de la Convention</w:t>
      </w:r>
      <w:r w:rsidR="00037A0F" w:rsidRPr="00844541">
        <w:t xml:space="preserve">, </w:t>
      </w:r>
      <w:r w:rsidR="00EC6427" w:rsidRPr="00844541">
        <w:t xml:space="preserve">et </w:t>
      </w:r>
      <w:r w:rsidR="00835688" w:rsidRPr="00844541">
        <w:rPr>
          <w:noProof/>
        </w:rPr>
        <w:t>irrecevable</w:t>
      </w:r>
      <w:r w:rsidR="00EC6427" w:rsidRPr="00844541">
        <w:t xml:space="preserve"> pour le surplus ;</w:t>
      </w:r>
    </w:p>
    <w:p w:rsidR="002078FF" w:rsidRPr="00844541" w:rsidRDefault="002078FF" w:rsidP="00844541">
      <w:pPr>
        <w:pStyle w:val="JuList"/>
      </w:pPr>
    </w:p>
    <w:p w:rsidR="002078FF" w:rsidRPr="00844541" w:rsidRDefault="002078FF" w:rsidP="00844541">
      <w:pPr>
        <w:pStyle w:val="JuList"/>
      </w:pPr>
      <w:r w:rsidRPr="00844541">
        <w:t>2.  </w:t>
      </w:r>
      <w:r w:rsidRPr="00844541">
        <w:rPr>
          <w:i/>
        </w:rPr>
        <w:t>Dit</w:t>
      </w:r>
      <w:r w:rsidRPr="00844541">
        <w:t>, à l</w:t>
      </w:r>
      <w:r w:rsidR="00844541">
        <w:t>’</w:t>
      </w:r>
      <w:r w:rsidR="00F25880" w:rsidRPr="00844541">
        <w:t>unanimité,</w:t>
      </w:r>
      <w:r w:rsidRPr="00844541">
        <w:t xml:space="preserve"> qu</w:t>
      </w:r>
      <w:r w:rsidR="00844541">
        <w:t>’</w:t>
      </w:r>
      <w:r w:rsidRPr="00844541">
        <w:t>il n</w:t>
      </w:r>
      <w:r w:rsidR="00844541">
        <w:t>’</w:t>
      </w:r>
      <w:r w:rsidRPr="00844541">
        <w:t>y a pas eu violation de l</w:t>
      </w:r>
      <w:r w:rsidR="00844541">
        <w:t>’</w:t>
      </w:r>
      <w:r w:rsidRPr="00844541">
        <w:t xml:space="preserve">article 6 § 1 de la Convention </w:t>
      </w:r>
      <w:r w:rsidR="00464567" w:rsidRPr="00844541">
        <w:t>quant au</w:t>
      </w:r>
      <w:r w:rsidRPr="00844541">
        <w:t xml:space="preserve"> droit</w:t>
      </w:r>
      <w:r w:rsidR="00F40D25" w:rsidRPr="00844541">
        <w:t xml:space="preserve"> </w:t>
      </w:r>
      <w:r w:rsidRPr="00844541">
        <w:t>d</w:t>
      </w:r>
      <w:r w:rsidR="00844541">
        <w:t>’</w:t>
      </w:r>
      <w:r w:rsidRPr="00844541">
        <w:t>accès à un tribunal ;</w:t>
      </w:r>
    </w:p>
    <w:p w:rsidR="00EC6427" w:rsidRPr="00844541" w:rsidRDefault="00EC6427" w:rsidP="00844541">
      <w:pPr>
        <w:pStyle w:val="JuList"/>
      </w:pPr>
    </w:p>
    <w:p w:rsidR="00EC6427" w:rsidRPr="00844541" w:rsidRDefault="00AF1959" w:rsidP="00844541">
      <w:pPr>
        <w:pStyle w:val="JuList"/>
      </w:pPr>
      <w:r w:rsidRPr="00844541">
        <w:t>3</w:t>
      </w:r>
      <w:r w:rsidR="00E168C6" w:rsidRPr="00844541">
        <w:t>.  </w:t>
      </w:r>
      <w:r w:rsidR="00D65AB3" w:rsidRPr="00844541">
        <w:rPr>
          <w:i/>
        </w:rPr>
        <w:t>Dit</w:t>
      </w:r>
      <w:r w:rsidR="00835688" w:rsidRPr="00844541">
        <w:rPr>
          <w:noProof/>
        </w:rPr>
        <w:t>, à l</w:t>
      </w:r>
      <w:r w:rsidR="00844541">
        <w:rPr>
          <w:noProof/>
        </w:rPr>
        <w:t>’</w:t>
      </w:r>
      <w:r w:rsidR="00F25880" w:rsidRPr="00844541">
        <w:rPr>
          <w:noProof/>
        </w:rPr>
        <w:t>unanimité,</w:t>
      </w:r>
      <w:r w:rsidR="00835688" w:rsidRPr="00844541">
        <w:rPr>
          <w:noProof/>
        </w:rPr>
        <w:t xml:space="preserve"> </w:t>
      </w:r>
      <w:r w:rsidR="00EC6427" w:rsidRPr="00844541">
        <w:t>qu</w:t>
      </w:r>
      <w:r w:rsidR="00844541">
        <w:t>’</w:t>
      </w:r>
      <w:r w:rsidR="00EC6427" w:rsidRPr="00844541">
        <w:t xml:space="preserve">il </w:t>
      </w:r>
      <w:r w:rsidR="002078FF" w:rsidRPr="00844541">
        <w:t>n</w:t>
      </w:r>
      <w:r w:rsidR="00844541">
        <w:t>’</w:t>
      </w:r>
      <w:r w:rsidR="00EC6427" w:rsidRPr="00844541">
        <w:t xml:space="preserve">y a </w:t>
      </w:r>
      <w:r w:rsidR="002078FF" w:rsidRPr="00844541">
        <w:t xml:space="preserve">pas </w:t>
      </w:r>
      <w:r w:rsidR="00EC6427" w:rsidRPr="00844541">
        <w:t>eu violation de l</w:t>
      </w:r>
      <w:r w:rsidR="00844541">
        <w:t>’</w:t>
      </w:r>
      <w:r w:rsidR="00EC6427" w:rsidRPr="00844541">
        <w:t xml:space="preserve">article </w:t>
      </w:r>
      <w:r w:rsidR="00037A0F" w:rsidRPr="00844541">
        <w:t>6 § 1</w:t>
      </w:r>
      <w:r w:rsidR="00EC6427" w:rsidRPr="00844541">
        <w:t xml:space="preserve"> de la Convention</w:t>
      </w:r>
      <w:r w:rsidR="00464567" w:rsidRPr="00844541">
        <w:t xml:space="preserve"> quant au</w:t>
      </w:r>
      <w:r w:rsidR="00037A0F" w:rsidRPr="00844541">
        <w:t xml:space="preserve"> droit à un procès équitable</w:t>
      </w:r>
      <w:r w:rsidR="002078FF" w:rsidRPr="00844541">
        <w:t xml:space="preserve"> dans le respect du principe de la sécurité juridique</w:t>
      </w:r>
      <w:r w:rsidR="00EE78C1" w:rsidRPr="00844541">
        <w:t> </w:t>
      </w:r>
      <w:r w:rsidR="00EC6427" w:rsidRPr="00844541">
        <w:t>;</w:t>
      </w:r>
    </w:p>
    <w:p w:rsidR="00037A0F" w:rsidRPr="00844541" w:rsidRDefault="00037A0F" w:rsidP="00844541">
      <w:pPr>
        <w:pStyle w:val="JuList"/>
      </w:pPr>
    </w:p>
    <w:p w:rsidR="00037A0F" w:rsidRPr="00844541" w:rsidRDefault="00AF1959" w:rsidP="00844541">
      <w:pPr>
        <w:pStyle w:val="JuList"/>
      </w:pPr>
      <w:r w:rsidRPr="00844541">
        <w:lastRenderedPageBreak/>
        <w:t>4</w:t>
      </w:r>
      <w:r w:rsidR="00037A0F" w:rsidRPr="00844541">
        <w:t>.  </w:t>
      </w:r>
      <w:r w:rsidR="00037A0F" w:rsidRPr="00844541">
        <w:rPr>
          <w:i/>
        </w:rPr>
        <w:t>Dit</w:t>
      </w:r>
      <w:r w:rsidR="00037A0F" w:rsidRPr="00844541">
        <w:rPr>
          <w:noProof/>
        </w:rPr>
        <w:t>, à l</w:t>
      </w:r>
      <w:r w:rsidR="00844541">
        <w:rPr>
          <w:noProof/>
        </w:rPr>
        <w:t>’</w:t>
      </w:r>
      <w:r w:rsidR="00F25880" w:rsidRPr="00844541">
        <w:rPr>
          <w:noProof/>
        </w:rPr>
        <w:t>unanimité,</w:t>
      </w:r>
      <w:r w:rsidR="00037A0F" w:rsidRPr="00844541">
        <w:rPr>
          <w:noProof/>
        </w:rPr>
        <w:t xml:space="preserve"> </w:t>
      </w:r>
      <w:r w:rsidR="00037A0F" w:rsidRPr="00844541">
        <w:t>qu</w:t>
      </w:r>
      <w:r w:rsidR="00844541">
        <w:t>’</w:t>
      </w:r>
      <w:r w:rsidR="00037A0F" w:rsidRPr="00844541">
        <w:t>il y a eu violation de l</w:t>
      </w:r>
      <w:r w:rsidR="00844541">
        <w:t>’</w:t>
      </w:r>
      <w:r w:rsidR="00037A0F" w:rsidRPr="00844541">
        <w:t>article 6 § 1 de la Convention</w:t>
      </w:r>
      <w:r w:rsidR="00FA1BFC" w:rsidRPr="00844541">
        <w:t xml:space="preserve"> à</w:t>
      </w:r>
      <w:r w:rsidR="00037A0F" w:rsidRPr="00844541">
        <w:t xml:space="preserve"> raison de la durée de la procédure ;</w:t>
      </w:r>
    </w:p>
    <w:p w:rsidR="00037A0F" w:rsidRPr="00844541" w:rsidRDefault="00037A0F" w:rsidP="00844541">
      <w:pPr>
        <w:pStyle w:val="JuList"/>
      </w:pPr>
    </w:p>
    <w:p w:rsidR="00037A0F" w:rsidRPr="00844541" w:rsidRDefault="00AF1959" w:rsidP="00844541">
      <w:pPr>
        <w:pStyle w:val="JuList"/>
      </w:pPr>
      <w:r w:rsidRPr="00844541">
        <w:t>5</w:t>
      </w:r>
      <w:r w:rsidR="00037A0F" w:rsidRPr="00844541">
        <w:t>.  </w:t>
      </w:r>
      <w:r w:rsidR="00037A0F" w:rsidRPr="00844541">
        <w:rPr>
          <w:i/>
        </w:rPr>
        <w:t>Dit</w:t>
      </w:r>
      <w:r w:rsidR="00037A0F" w:rsidRPr="00844541">
        <w:rPr>
          <w:noProof/>
        </w:rPr>
        <w:t>, à l</w:t>
      </w:r>
      <w:r w:rsidR="00844541">
        <w:rPr>
          <w:noProof/>
        </w:rPr>
        <w:t>’</w:t>
      </w:r>
      <w:r w:rsidR="00F25880" w:rsidRPr="00844541">
        <w:rPr>
          <w:noProof/>
        </w:rPr>
        <w:t>unanimité,</w:t>
      </w:r>
      <w:r w:rsidR="00037A0F" w:rsidRPr="00844541">
        <w:rPr>
          <w:noProof/>
        </w:rPr>
        <w:t xml:space="preserve"> </w:t>
      </w:r>
      <w:r w:rsidR="00037A0F" w:rsidRPr="00844541">
        <w:t>qu</w:t>
      </w:r>
      <w:r w:rsidR="00844541">
        <w:t>’</w:t>
      </w:r>
      <w:r w:rsidR="00037A0F" w:rsidRPr="00844541">
        <w:t xml:space="preserve">il </w:t>
      </w:r>
      <w:r w:rsidR="00E754C9" w:rsidRPr="00844541">
        <w:t>n</w:t>
      </w:r>
      <w:r w:rsidR="00844541">
        <w:t>’</w:t>
      </w:r>
      <w:r w:rsidR="00037A0F" w:rsidRPr="00844541">
        <w:t xml:space="preserve">y a </w:t>
      </w:r>
      <w:r w:rsidR="00E754C9" w:rsidRPr="00844541">
        <w:t xml:space="preserve">pas </w:t>
      </w:r>
      <w:r w:rsidR="002078FF" w:rsidRPr="00844541">
        <w:t>eu violation de l</w:t>
      </w:r>
      <w:r w:rsidR="00844541">
        <w:t>’</w:t>
      </w:r>
      <w:r w:rsidR="002078FF" w:rsidRPr="00844541">
        <w:t>article 14 de la Convention combiné avec l</w:t>
      </w:r>
      <w:r w:rsidR="00844541">
        <w:t>’</w:t>
      </w:r>
      <w:r w:rsidR="002078FF" w:rsidRPr="00844541">
        <w:t xml:space="preserve">article </w:t>
      </w:r>
      <w:r w:rsidR="00037A0F" w:rsidRPr="00844541">
        <w:t>6 § 1 de la Convention</w:t>
      </w:r>
      <w:r w:rsidR="002078FF" w:rsidRPr="00844541">
        <w:t xml:space="preserve"> quant au droit d</w:t>
      </w:r>
      <w:r w:rsidR="00844541">
        <w:t>’</w:t>
      </w:r>
      <w:r w:rsidR="002078FF" w:rsidRPr="00844541">
        <w:t>accès à un tribunal</w:t>
      </w:r>
      <w:r w:rsidR="00037A0F" w:rsidRPr="00844541">
        <w:t> ;</w:t>
      </w:r>
    </w:p>
    <w:p w:rsidR="004203B7" w:rsidRPr="00844541" w:rsidRDefault="004203B7" w:rsidP="00844541">
      <w:pPr>
        <w:pStyle w:val="JuList"/>
      </w:pPr>
    </w:p>
    <w:p w:rsidR="00EC6427" w:rsidRPr="00844541" w:rsidRDefault="00037A0F" w:rsidP="00844541">
      <w:pPr>
        <w:pStyle w:val="JuList"/>
        <w:keepNext/>
        <w:keepLines/>
      </w:pPr>
      <w:r w:rsidRPr="00844541">
        <w:t>6</w:t>
      </w:r>
      <w:r w:rsidR="00EC6427" w:rsidRPr="00844541">
        <w:t>.  </w:t>
      </w:r>
      <w:r w:rsidR="00EC6427" w:rsidRPr="00844541">
        <w:rPr>
          <w:i/>
        </w:rPr>
        <w:t>Dit</w:t>
      </w:r>
      <w:r w:rsidR="00F25880" w:rsidRPr="00844541">
        <w:rPr>
          <w:i/>
        </w:rPr>
        <w:t xml:space="preserve"> </w:t>
      </w:r>
      <w:r w:rsidR="00835688" w:rsidRPr="00844541">
        <w:rPr>
          <w:noProof/>
        </w:rPr>
        <w:t>à l</w:t>
      </w:r>
      <w:r w:rsidR="00844541">
        <w:rPr>
          <w:noProof/>
        </w:rPr>
        <w:t>’</w:t>
      </w:r>
      <w:r w:rsidR="00F25880" w:rsidRPr="00844541">
        <w:rPr>
          <w:noProof/>
        </w:rPr>
        <w:t>unanimité,</w:t>
      </w:r>
    </w:p>
    <w:p w:rsidR="0029723C" w:rsidRPr="00844541" w:rsidRDefault="00EC6427" w:rsidP="00844541">
      <w:pPr>
        <w:pStyle w:val="JuLista"/>
        <w:keepNext/>
        <w:keepLines/>
      </w:pPr>
      <w:r w:rsidRPr="00844541">
        <w:t>a)  que l</w:t>
      </w:r>
      <w:r w:rsidR="00844541">
        <w:t>’</w:t>
      </w:r>
      <w:r w:rsidR="001D15DF" w:rsidRPr="00844541">
        <w:t>État</w:t>
      </w:r>
      <w:r w:rsidRPr="00844541">
        <w:t xml:space="preserve"> défendeur doit verser </w:t>
      </w:r>
      <w:r w:rsidR="00835688" w:rsidRPr="00844541">
        <w:rPr>
          <w:noProof/>
        </w:rPr>
        <w:t>aux requérants</w:t>
      </w:r>
      <w:r w:rsidRPr="00844541">
        <w:t>, dans les trois mois</w:t>
      </w:r>
      <w:r w:rsidR="00A211FC" w:rsidRPr="00844541">
        <w:rPr>
          <w:noProof/>
        </w:rPr>
        <w:t xml:space="preserve"> </w:t>
      </w:r>
      <w:r w:rsidR="00835688" w:rsidRPr="00844541">
        <w:rPr>
          <w:noProof/>
        </w:rPr>
        <w:t>à compter du jour où l</w:t>
      </w:r>
      <w:r w:rsidR="00844541">
        <w:rPr>
          <w:noProof/>
        </w:rPr>
        <w:t>’</w:t>
      </w:r>
      <w:r w:rsidR="00835688" w:rsidRPr="00844541">
        <w:rPr>
          <w:noProof/>
        </w:rPr>
        <w:t>arrêt sera devenu définitif conformément à l</w:t>
      </w:r>
      <w:r w:rsidR="00844541">
        <w:rPr>
          <w:noProof/>
        </w:rPr>
        <w:t>’</w:t>
      </w:r>
      <w:r w:rsidR="00835688" w:rsidRPr="00844541">
        <w:rPr>
          <w:noProof/>
        </w:rPr>
        <w:t>article 44 § 2 de la Convention</w:t>
      </w:r>
      <w:r w:rsidRPr="00844541">
        <w:t xml:space="preserve">, </w:t>
      </w:r>
      <w:r w:rsidR="0029723C" w:rsidRPr="00844541">
        <w:t xml:space="preserve">les sommes suivantes, à convertir </w:t>
      </w:r>
      <w:r w:rsidR="000E4D02" w:rsidRPr="00844541">
        <w:t>dans la monnaie de l</w:t>
      </w:r>
      <w:r w:rsidR="00844541">
        <w:t>’</w:t>
      </w:r>
      <w:r w:rsidR="001D15DF" w:rsidRPr="00844541">
        <w:t>État</w:t>
      </w:r>
      <w:r w:rsidR="000E4D02" w:rsidRPr="00844541">
        <w:t xml:space="preserve"> défendeur</w:t>
      </w:r>
      <w:r w:rsidR="00A211FC" w:rsidRPr="00844541">
        <w:t>,</w:t>
      </w:r>
      <w:r w:rsidR="0029723C" w:rsidRPr="00844541">
        <w:t xml:space="preserve"> au taux ap</w:t>
      </w:r>
      <w:r w:rsidR="004203B7" w:rsidRPr="00844541">
        <w:t>plicable à la date du règlement</w:t>
      </w:r>
      <w:r w:rsidR="0029723C" w:rsidRPr="00844541">
        <w:t> :</w:t>
      </w:r>
    </w:p>
    <w:p w:rsidR="0029723C" w:rsidRPr="00844541" w:rsidRDefault="0029723C" w:rsidP="00844541">
      <w:pPr>
        <w:pStyle w:val="JuListi"/>
        <w:rPr>
          <w:lang w:eastAsia="en-GB"/>
        </w:rPr>
      </w:pPr>
      <w:r w:rsidRPr="00844541">
        <w:rPr>
          <w:lang w:eastAsia="en-GB"/>
        </w:rPr>
        <w:t>i</w:t>
      </w:r>
      <w:r w:rsidR="00C37E41" w:rsidRPr="00844541">
        <w:rPr>
          <w:lang w:eastAsia="en-GB"/>
        </w:rPr>
        <w:t>.</w:t>
      </w:r>
      <w:r w:rsidRPr="00844541">
        <w:rPr>
          <w:lang w:eastAsia="en-GB"/>
        </w:rPr>
        <w:t>  </w:t>
      </w:r>
      <w:r w:rsidR="001E5616" w:rsidRPr="00844541">
        <w:rPr>
          <w:lang w:eastAsia="en-GB"/>
        </w:rPr>
        <w:t>2</w:t>
      </w:r>
      <w:r w:rsidR="00A211FC" w:rsidRPr="00844541">
        <w:rPr>
          <w:lang w:eastAsia="en-GB"/>
        </w:rPr>
        <w:t> </w:t>
      </w:r>
      <w:r w:rsidR="001E5616" w:rsidRPr="00844541">
        <w:rPr>
          <w:lang w:eastAsia="en-GB"/>
        </w:rPr>
        <w:t>4</w:t>
      </w:r>
      <w:r w:rsidR="00A211FC" w:rsidRPr="00844541">
        <w:rPr>
          <w:lang w:eastAsia="en-GB"/>
        </w:rPr>
        <w:t>00</w:t>
      </w:r>
      <w:r w:rsidRPr="00844541">
        <w:rPr>
          <w:lang w:eastAsia="en-GB"/>
        </w:rPr>
        <w:t xml:space="preserve"> EUR (</w:t>
      </w:r>
      <w:r w:rsidR="00A211FC" w:rsidRPr="00844541">
        <w:rPr>
          <w:lang w:eastAsia="en-GB"/>
        </w:rPr>
        <w:t>d</w:t>
      </w:r>
      <w:r w:rsidR="001E5616" w:rsidRPr="00844541">
        <w:rPr>
          <w:lang w:eastAsia="en-GB"/>
        </w:rPr>
        <w:t xml:space="preserve">eux </w:t>
      </w:r>
      <w:r w:rsidR="00A211FC" w:rsidRPr="00844541">
        <w:rPr>
          <w:lang w:eastAsia="en-GB"/>
        </w:rPr>
        <w:t>mille</w:t>
      </w:r>
      <w:r w:rsidR="001E5616" w:rsidRPr="00844541">
        <w:rPr>
          <w:lang w:eastAsia="en-GB"/>
        </w:rPr>
        <w:t xml:space="preserve"> quatre cents</w:t>
      </w:r>
      <w:r w:rsidR="00A211FC" w:rsidRPr="00844541">
        <w:rPr>
          <w:lang w:eastAsia="en-GB"/>
        </w:rPr>
        <w:t xml:space="preserve"> euros)</w:t>
      </w:r>
      <w:r w:rsidR="00A414DD" w:rsidRPr="00844541">
        <w:rPr>
          <w:lang w:eastAsia="en-GB"/>
        </w:rPr>
        <w:t xml:space="preserve"> </w:t>
      </w:r>
      <w:r w:rsidR="0036382D" w:rsidRPr="00844541">
        <w:rPr>
          <w:lang w:eastAsia="en-GB"/>
        </w:rPr>
        <w:t xml:space="preserve">conjointement aux </w:t>
      </w:r>
      <w:r w:rsidR="00A414DD" w:rsidRPr="00844541">
        <w:rPr>
          <w:lang w:eastAsia="en-GB"/>
        </w:rPr>
        <w:t>requérants</w:t>
      </w:r>
      <w:r w:rsidRPr="00844541">
        <w:rPr>
          <w:lang w:eastAsia="en-GB"/>
        </w:rPr>
        <w:t>, plus tout montant pouvant être dû à titre d</w:t>
      </w:r>
      <w:r w:rsidR="00844541">
        <w:rPr>
          <w:lang w:eastAsia="en-GB"/>
        </w:rPr>
        <w:t>’</w:t>
      </w:r>
      <w:r w:rsidRPr="00844541">
        <w:rPr>
          <w:lang w:eastAsia="en-GB"/>
        </w:rPr>
        <w:t>impôt,</w:t>
      </w:r>
      <w:r w:rsidR="00A211FC" w:rsidRPr="00844541">
        <w:rPr>
          <w:lang w:eastAsia="en-GB"/>
        </w:rPr>
        <w:t xml:space="preserve"> pour dommage moral</w:t>
      </w:r>
      <w:r w:rsidR="004203B7" w:rsidRPr="00844541">
        <w:rPr>
          <w:lang w:eastAsia="en-GB"/>
        </w:rPr>
        <w:t> ;</w:t>
      </w:r>
    </w:p>
    <w:p w:rsidR="00FC512D" w:rsidRPr="00844541" w:rsidRDefault="0029723C" w:rsidP="00844541">
      <w:pPr>
        <w:pStyle w:val="JuListi"/>
      </w:pPr>
      <w:r w:rsidRPr="00844541">
        <w:rPr>
          <w:lang w:eastAsia="en-GB"/>
        </w:rPr>
        <w:t>ii</w:t>
      </w:r>
      <w:r w:rsidR="00C37E41" w:rsidRPr="00844541">
        <w:rPr>
          <w:lang w:eastAsia="en-GB"/>
        </w:rPr>
        <w:t>.</w:t>
      </w:r>
      <w:r w:rsidRPr="00844541">
        <w:rPr>
          <w:lang w:eastAsia="en-GB"/>
        </w:rPr>
        <w:t>  </w:t>
      </w:r>
      <w:r w:rsidR="00AA1CC3" w:rsidRPr="00844541">
        <w:rPr>
          <w:lang w:eastAsia="en-GB"/>
        </w:rPr>
        <w:t>2 202</w:t>
      </w:r>
      <w:r w:rsidRPr="00844541">
        <w:rPr>
          <w:lang w:eastAsia="en-GB"/>
        </w:rPr>
        <w:t xml:space="preserve"> EUR (</w:t>
      </w:r>
      <w:r w:rsidR="00AA1CC3" w:rsidRPr="00844541">
        <w:rPr>
          <w:lang w:eastAsia="en-GB"/>
        </w:rPr>
        <w:t>deux mille deux cent deux euros</w:t>
      </w:r>
      <w:r w:rsidRPr="00844541">
        <w:rPr>
          <w:lang w:eastAsia="en-GB"/>
        </w:rPr>
        <w:t>), plus tout montant pouvant être dû à titre d</w:t>
      </w:r>
      <w:r w:rsidR="00844541">
        <w:rPr>
          <w:lang w:eastAsia="en-GB"/>
        </w:rPr>
        <w:t>’</w:t>
      </w:r>
      <w:r w:rsidRPr="00844541">
        <w:rPr>
          <w:lang w:eastAsia="en-GB"/>
        </w:rPr>
        <w:t>impôt</w:t>
      </w:r>
      <w:r w:rsidR="00AA1CC3" w:rsidRPr="00844541">
        <w:rPr>
          <w:lang w:eastAsia="en-GB"/>
        </w:rPr>
        <w:t xml:space="preserve"> par les requérants</w:t>
      </w:r>
      <w:r w:rsidRPr="00844541">
        <w:rPr>
          <w:lang w:eastAsia="en-GB"/>
        </w:rPr>
        <w:t xml:space="preserve">, </w:t>
      </w:r>
      <w:r w:rsidR="00FC512D" w:rsidRPr="00844541">
        <w:t>pour frais et dépens, à verser directement à M</w:t>
      </w:r>
      <w:r w:rsidR="00FC512D" w:rsidRPr="00844541">
        <w:rPr>
          <w:vertAlign w:val="superscript"/>
        </w:rPr>
        <w:t>e</w:t>
      </w:r>
      <w:r w:rsidR="00FC512D" w:rsidRPr="00844541">
        <w:t> D.O. Hatneanu</w:t>
      </w:r>
      <w:r w:rsidR="004203B7" w:rsidRPr="00844541">
        <w:t> ;</w:t>
      </w:r>
    </w:p>
    <w:p w:rsidR="0029723C" w:rsidRPr="00844541" w:rsidRDefault="0029723C" w:rsidP="00844541">
      <w:pPr>
        <w:pStyle w:val="JuListi"/>
        <w:rPr>
          <w:lang w:eastAsia="en-GB"/>
        </w:rPr>
      </w:pPr>
      <w:r w:rsidRPr="00844541">
        <w:t>iii</w:t>
      </w:r>
      <w:r w:rsidR="00C37E41" w:rsidRPr="00844541">
        <w:rPr>
          <w:lang w:eastAsia="en-GB"/>
        </w:rPr>
        <w:t>.</w:t>
      </w:r>
      <w:r w:rsidRPr="00844541">
        <w:rPr>
          <w:lang w:eastAsia="en-GB"/>
        </w:rPr>
        <w:t>  </w:t>
      </w:r>
      <w:r w:rsidR="00FC512D" w:rsidRPr="00844541">
        <w:rPr>
          <w:lang w:eastAsia="en-GB"/>
        </w:rPr>
        <w:t>2 45</w:t>
      </w:r>
      <w:r w:rsidR="008C11F5" w:rsidRPr="00844541">
        <w:rPr>
          <w:lang w:eastAsia="en-GB"/>
        </w:rPr>
        <w:t>6</w:t>
      </w:r>
      <w:r w:rsidR="00FC512D" w:rsidRPr="00844541">
        <w:rPr>
          <w:lang w:eastAsia="en-GB"/>
        </w:rPr>
        <w:t xml:space="preserve"> </w:t>
      </w:r>
      <w:r w:rsidRPr="00844541">
        <w:rPr>
          <w:lang w:eastAsia="en-GB"/>
        </w:rPr>
        <w:t>EUR (</w:t>
      </w:r>
      <w:r w:rsidR="00FC512D" w:rsidRPr="00844541">
        <w:rPr>
          <w:lang w:eastAsia="en-GB"/>
        </w:rPr>
        <w:t>deux mille quatre cent cinquante-s</w:t>
      </w:r>
      <w:r w:rsidR="008C11F5" w:rsidRPr="00844541">
        <w:rPr>
          <w:lang w:eastAsia="en-GB"/>
        </w:rPr>
        <w:t>ix</w:t>
      </w:r>
      <w:r w:rsidR="00FC512D" w:rsidRPr="00844541">
        <w:rPr>
          <w:lang w:eastAsia="en-GB"/>
        </w:rPr>
        <w:t xml:space="preserve"> euros</w:t>
      </w:r>
      <w:r w:rsidRPr="00844541">
        <w:rPr>
          <w:lang w:eastAsia="en-GB"/>
        </w:rPr>
        <w:t>), plus tout montant pouvant être dû à titre d</w:t>
      </w:r>
      <w:r w:rsidR="00844541">
        <w:rPr>
          <w:lang w:eastAsia="en-GB"/>
        </w:rPr>
        <w:t>’</w:t>
      </w:r>
      <w:r w:rsidRPr="00844541">
        <w:rPr>
          <w:lang w:eastAsia="en-GB"/>
        </w:rPr>
        <w:t>impôt par le</w:t>
      </w:r>
      <w:r w:rsidR="00C53049" w:rsidRPr="00844541">
        <w:rPr>
          <w:lang w:eastAsia="en-GB"/>
        </w:rPr>
        <w:t>s</w:t>
      </w:r>
      <w:r w:rsidRPr="00844541">
        <w:rPr>
          <w:lang w:eastAsia="en-GB"/>
        </w:rPr>
        <w:t xml:space="preserve"> requérant</w:t>
      </w:r>
      <w:r w:rsidR="00C53049" w:rsidRPr="00844541">
        <w:rPr>
          <w:lang w:eastAsia="en-GB"/>
        </w:rPr>
        <w:t>s</w:t>
      </w:r>
      <w:r w:rsidRPr="00844541">
        <w:rPr>
          <w:lang w:eastAsia="en-GB"/>
        </w:rPr>
        <w:t>, pour frais et dépens</w:t>
      </w:r>
      <w:r w:rsidR="00FC512D" w:rsidRPr="00844541">
        <w:rPr>
          <w:lang w:eastAsia="en-GB"/>
        </w:rPr>
        <w:t>, à verser directement à M</w:t>
      </w:r>
      <w:r w:rsidR="00FC512D" w:rsidRPr="00844541">
        <w:rPr>
          <w:vertAlign w:val="superscript"/>
          <w:lang w:eastAsia="en-GB"/>
        </w:rPr>
        <w:t>e</w:t>
      </w:r>
      <w:r w:rsidR="00FC512D" w:rsidRPr="00844541">
        <w:rPr>
          <w:lang w:eastAsia="en-GB"/>
        </w:rPr>
        <w:t xml:space="preserve"> C.T. Borsany</w:t>
      </w:r>
      <w:r w:rsidR="007D729A" w:rsidRPr="00844541">
        <w:rPr>
          <w:lang w:eastAsia="en-GB"/>
        </w:rPr>
        <w:t>i</w:t>
      </w:r>
      <w:r w:rsidR="004203B7" w:rsidRPr="00844541">
        <w:rPr>
          <w:lang w:eastAsia="en-GB"/>
        </w:rPr>
        <w:t> ;</w:t>
      </w:r>
    </w:p>
    <w:p w:rsidR="004F1495" w:rsidRPr="00844541" w:rsidRDefault="004F1495" w:rsidP="00844541">
      <w:pPr>
        <w:pStyle w:val="JuListi"/>
      </w:pPr>
      <w:r w:rsidRPr="00844541">
        <w:t>iv</w:t>
      </w:r>
      <w:r w:rsidR="00C37E41" w:rsidRPr="00844541">
        <w:t>.</w:t>
      </w:r>
      <w:r w:rsidRPr="00844541">
        <w:t>  </w:t>
      </w:r>
      <w:r w:rsidR="00C53049" w:rsidRPr="00844541">
        <w:rPr>
          <w:lang w:eastAsia="en-GB"/>
        </w:rPr>
        <w:t>300 EUR (trois cents euros), plus tout montant pouvant être dû à titre d</w:t>
      </w:r>
      <w:r w:rsidR="00844541">
        <w:rPr>
          <w:lang w:eastAsia="en-GB"/>
        </w:rPr>
        <w:t>’</w:t>
      </w:r>
      <w:r w:rsidR="00C53049" w:rsidRPr="00844541">
        <w:rPr>
          <w:lang w:eastAsia="en-GB"/>
        </w:rPr>
        <w:t xml:space="preserve">impôt par les requérants, pour frais et dépens </w:t>
      </w:r>
      <w:r w:rsidR="00C53049" w:rsidRPr="00844541">
        <w:rPr>
          <w:lang w:eastAsia="en-US"/>
        </w:rPr>
        <w:t>à verser directement à APADOR-CH ;</w:t>
      </w:r>
    </w:p>
    <w:p w:rsidR="00EC6427" w:rsidRPr="00844541" w:rsidRDefault="00EC6427" w:rsidP="00844541">
      <w:pPr>
        <w:pStyle w:val="JuLista"/>
      </w:pPr>
      <w:r w:rsidRPr="00844541">
        <w:t>b)  qu</w:t>
      </w:r>
      <w:r w:rsidR="00844541">
        <w:t>’</w:t>
      </w:r>
      <w:r w:rsidRPr="00844541">
        <w:t>à compter de l</w:t>
      </w:r>
      <w:r w:rsidR="00844541">
        <w:t>’</w:t>
      </w:r>
      <w:r w:rsidRPr="00844541">
        <w:t>expiration dudit délai et jusqu</w:t>
      </w:r>
      <w:r w:rsidR="00844541">
        <w:t>’</w:t>
      </w:r>
      <w:r w:rsidRPr="00844541">
        <w:t>au versement, ces montan</w:t>
      </w:r>
      <w:r w:rsidR="0029723C" w:rsidRPr="00844541">
        <w:t>t</w:t>
      </w:r>
      <w:r w:rsidRPr="00844541">
        <w:t>s</w:t>
      </w:r>
      <w:r w:rsidR="0029723C" w:rsidRPr="00844541">
        <w:t xml:space="preserve"> ser</w:t>
      </w:r>
      <w:r w:rsidRPr="00844541">
        <w:t>ont à majorer d</w:t>
      </w:r>
      <w:r w:rsidR="00844541">
        <w:t>’</w:t>
      </w:r>
      <w:r w:rsidRPr="00844541">
        <w:t>un intérêt simple à un taux égal à celui de la facilité de prêt marginal de la Banque centrale européenne applicable pendant cette période, augmenté de trois points de pourcentage ;</w:t>
      </w:r>
    </w:p>
    <w:p w:rsidR="00EC6427" w:rsidRPr="00844541" w:rsidRDefault="00EC6427" w:rsidP="00844541">
      <w:pPr>
        <w:pStyle w:val="JuList"/>
      </w:pPr>
    </w:p>
    <w:p w:rsidR="00EC6427" w:rsidRPr="00844541" w:rsidRDefault="00666B9D" w:rsidP="00844541">
      <w:pPr>
        <w:pStyle w:val="JuList"/>
      </w:pPr>
      <w:r w:rsidRPr="00844541">
        <w:t>7</w:t>
      </w:r>
      <w:r w:rsidR="00EC6427" w:rsidRPr="00844541">
        <w:t>.  </w:t>
      </w:r>
      <w:r w:rsidR="00EC6427" w:rsidRPr="00844541">
        <w:rPr>
          <w:i/>
        </w:rPr>
        <w:t>Rejette</w:t>
      </w:r>
      <w:r w:rsidR="00835688" w:rsidRPr="00844541">
        <w:rPr>
          <w:noProof/>
        </w:rPr>
        <w:t>, à l</w:t>
      </w:r>
      <w:r w:rsidR="00844541">
        <w:rPr>
          <w:noProof/>
        </w:rPr>
        <w:t>’</w:t>
      </w:r>
      <w:r w:rsidR="00F25880" w:rsidRPr="00844541">
        <w:rPr>
          <w:noProof/>
        </w:rPr>
        <w:t>unanimité,</w:t>
      </w:r>
      <w:r w:rsidR="00835688" w:rsidRPr="00844541">
        <w:rPr>
          <w:noProof/>
        </w:rPr>
        <w:t xml:space="preserve"> </w:t>
      </w:r>
      <w:r w:rsidR="00EC6427" w:rsidRPr="00844541">
        <w:t>la demande de satisfaction équitable pour le surplus.</w:t>
      </w:r>
    </w:p>
    <w:p w:rsidR="00560B55" w:rsidRPr="00844541" w:rsidRDefault="00EC6427" w:rsidP="00844541">
      <w:pPr>
        <w:pStyle w:val="JuParaLast"/>
      </w:pPr>
      <w:r w:rsidRPr="00844541">
        <w:t>Fait en françai</w:t>
      </w:r>
      <w:r w:rsidR="004203B7" w:rsidRPr="00844541">
        <w:t xml:space="preserve">s, puis communiqué par écrit le </w:t>
      </w:r>
      <w:r w:rsidR="00497895" w:rsidRPr="00844541">
        <w:t xml:space="preserve">19 mai </w:t>
      </w:r>
      <w:r w:rsidR="00666B9D" w:rsidRPr="00844541">
        <w:t>201</w:t>
      </w:r>
      <w:r w:rsidR="00E967AD" w:rsidRPr="00844541">
        <w:t>5</w:t>
      </w:r>
      <w:r w:rsidR="0053642D" w:rsidRPr="00844541">
        <w:t>,</w:t>
      </w:r>
      <w:r w:rsidRPr="00844541">
        <w:t xml:space="preserve"> en application de l</w:t>
      </w:r>
      <w:r w:rsidR="00844541">
        <w:t>’</w:t>
      </w:r>
      <w:r w:rsidRPr="00844541">
        <w:t>article 77 §§ 2 et 3 du règlement.</w:t>
      </w:r>
    </w:p>
    <w:p w:rsidR="00EC6427" w:rsidRPr="00844541" w:rsidRDefault="00835688" w:rsidP="00844541">
      <w:pPr>
        <w:pStyle w:val="JuSigned"/>
        <w:keepNext/>
        <w:keepLines/>
      </w:pPr>
      <w:r w:rsidRPr="00844541">
        <w:rPr>
          <w:noProof/>
        </w:rPr>
        <w:tab/>
      </w:r>
      <w:r w:rsidR="00A56FEC" w:rsidRPr="00844541">
        <w:rPr>
          <w:noProof/>
        </w:rPr>
        <w:t>Stephen Phillips</w:t>
      </w:r>
      <w:r w:rsidR="004C7DF5" w:rsidRPr="00844541">
        <w:tab/>
      </w:r>
      <w:r w:rsidRPr="00844541">
        <w:rPr>
          <w:noProof/>
          <w:szCs w:val="24"/>
        </w:rPr>
        <w:t>Josep Casadevall</w:t>
      </w:r>
      <w:r w:rsidR="004C7DF5" w:rsidRPr="00844541">
        <w:br/>
      </w:r>
      <w:r w:rsidR="004C7DF5" w:rsidRPr="00844541">
        <w:tab/>
      </w:r>
      <w:r w:rsidRPr="00844541">
        <w:rPr>
          <w:noProof/>
        </w:rPr>
        <w:t>Greffier</w:t>
      </w:r>
      <w:r w:rsidR="004C7DF5" w:rsidRPr="00844541">
        <w:tab/>
      </w:r>
      <w:r w:rsidRPr="00844541">
        <w:rPr>
          <w:noProof/>
        </w:rPr>
        <w:t>Président</w:t>
      </w:r>
    </w:p>
    <w:sectPr w:rsidR="00EC6427" w:rsidRPr="00844541" w:rsidSect="00EE1080">
      <w:headerReference w:type="even" r:id="rId15"/>
      <w:headerReference w:type="default" r:id="rId16"/>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AE4" w:rsidRDefault="004C1AE4">
      <w:r>
        <w:separator/>
      </w:r>
    </w:p>
  </w:endnote>
  <w:endnote w:type="continuationSeparator" w:id="0">
    <w:p w:rsidR="004C1AE4" w:rsidRDefault="004C1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3">
    <w:panose1 w:val="050401020108070707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Times New (W1)">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E4" w:rsidRPr="00150BFA" w:rsidRDefault="004C1AE4" w:rsidP="00EE1080">
    <w:pPr>
      <w:jc w:val="center"/>
    </w:pPr>
    <w:r>
      <w:rPr>
        <w:noProof/>
        <w:lang w:val="fr-FR" w:eastAsia="fr-FR"/>
      </w:rPr>
      <w:drawing>
        <wp:inline distT="0" distB="0" distL="0" distR="0" wp14:anchorId="1F93942C" wp14:editId="7BA82A35">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4C1AE4" w:rsidRDefault="004C1AE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AE4" w:rsidRDefault="004C1AE4">
      <w:r>
        <w:separator/>
      </w:r>
    </w:p>
  </w:footnote>
  <w:footnote w:type="continuationSeparator" w:id="0">
    <w:p w:rsidR="004C1AE4" w:rsidRDefault="004C1A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E4" w:rsidRPr="00DE593D" w:rsidRDefault="004C1AE4" w:rsidP="00EE1080">
    <w:pPr>
      <w:pStyle w:val="ECHR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E4" w:rsidRPr="00A45145" w:rsidRDefault="004C1AE4" w:rsidP="00EE1080">
    <w:pPr>
      <w:jc w:val="center"/>
    </w:pPr>
    <w:r>
      <w:rPr>
        <w:noProof/>
        <w:lang w:val="fr-FR" w:eastAsia="fr-FR"/>
      </w:rPr>
      <w:drawing>
        <wp:inline distT="0" distB="0" distL="0" distR="0" wp14:anchorId="47BC82EC" wp14:editId="25F76968">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4C1AE4" w:rsidRDefault="004C1AE4">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E4" w:rsidRPr="00DE593D" w:rsidRDefault="004C1AE4" w:rsidP="00946BFB">
    <w:pPr>
      <w:pStyle w:val="ECHRHeader"/>
    </w:pPr>
    <w:r>
      <w:rPr>
        <w:rStyle w:val="Numrodepage"/>
      </w:rPr>
      <w:fldChar w:fldCharType="begin"/>
    </w:r>
    <w:r>
      <w:rPr>
        <w:rStyle w:val="Numrodepage"/>
      </w:rPr>
      <w:instrText xml:space="preserve"> PAGE </w:instrText>
    </w:r>
    <w:r>
      <w:rPr>
        <w:rStyle w:val="Numrodepage"/>
      </w:rPr>
      <w:fldChar w:fldCharType="separate"/>
    </w:r>
    <w:r w:rsidR="00A8072A">
      <w:rPr>
        <w:rStyle w:val="Numrodepage"/>
        <w:noProof/>
      </w:rPr>
      <w:t>42</w:t>
    </w:r>
    <w:r>
      <w:rPr>
        <w:rStyle w:val="Numrodepage"/>
      </w:rPr>
      <w:fldChar w:fldCharType="end"/>
    </w:r>
    <w:r w:rsidRPr="00DE593D">
      <w:rPr>
        <w:rStyle w:val="Numrodepage"/>
      </w:rPr>
      <w:tab/>
    </w:r>
    <w:r>
      <w:rPr>
        <w:noProof/>
      </w:rPr>
      <w:t>ARRÊT</w:t>
    </w:r>
    <w:r w:rsidRPr="00DE593D">
      <w:t xml:space="preserve"> </w:t>
    </w:r>
    <w:r>
      <w:t>PAROISSE GR</w:t>
    </w:r>
    <w:r>
      <w:rPr>
        <w:rFonts w:cstheme="minorHAnsi"/>
      </w:rPr>
      <w:t>É</w:t>
    </w:r>
    <w:r>
      <w:t>CO-CATHOLIQUE LUPENI ET AUTRES c. ROUMANIE</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E4" w:rsidRPr="00DE593D" w:rsidRDefault="004C1AE4" w:rsidP="00946BFB">
    <w:pPr>
      <w:pStyle w:val="ECHRHeader"/>
    </w:pPr>
    <w:r>
      <w:tab/>
    </w:r>
    <w:r>
      <w:rPr>
        <w:noProof/>
      </w:rPr>
      <w:t>ARRÊT</w:t>
    </w:r>
    <w:r w:rsidRPr="00DE593D">
      <w:t xml:space="preserve"> </w:t>
    </w:r>
    <w:r>
      <w:t>PAROISSE GR</w:t>
    </w:r>
    <w:r>
      <w:rPr>
        <w:rFonts w:cstheme="minorHAnsi"/>
      </w:rPr>
      <w:t>É</w:t>
    </w:r>
    <w:r>
      <w:t>CO-CATHOLIQUE LUPENI ET AUTRES c. ROUMANIE</w:t>
    </w:r>
    <w:r w:rsidRPr="00DE593D">
      <w:tab/>
    </w:r>
    <w:r>
      <w:rPr>
        <w:rStyle w:val="Numrodepage"/>
      </w:rPr>
      <w:fldChar w:fldCharType="begin"/>
    </w:r>
    <w:r>
      <w:rPr>
        <w:rStyle w:val="Numrodepage"/>
      </w:rPr>
      <w:instrText xml:space="preserve"> PAGE </w:instrText>
    </w:r>
    <w:r>
      <w:rPr>
        <w:rStyle w:val="Numrodepage"/>
      </w:rPr>
      <w:fldChar w:fldCharType="separate"/>
    </w:r>
    <w:r w:rsidR="00A8072A">
      <w:rPr>
        <w:rStyle w:val="Numrodepage"/>
        <w:noProof/>
      </w:rPr>
      <w:t>1</w:t>
    </w:r>
    <w:r>
      <w:rPr>
        <w:rStyle w:val="Numrodepage"/>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AA222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AC189B28"/>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0C4301E"/>
    <w:lvl w:ilvl="0">
      <w:start w:val="1"/>
      <w:numFmt w:val="decimal"/>
      <w:pStyle w:val="Listenumros3"/>
      <w:lvlText w:val="%1."/>
      <w:lvlJc w:val="left"/>
      <w:pPr>
        <w:tabs>
          <w:tab w:val="num" w:pos="926"/>
        </w:tabs>
        <w:ind w:left="926" w:hanging="360"/>
      </w:pPr>
    </w:lvl>
  </w:abstractNum>
  <w:abstractNum w:abstractNumId="3">
    <w:nsid w:val="FFFFFF7F"/>
    <w:multiLevelType w:val="singleLevel"/>
    <w:tmpl w:val="C7268F26"/>
    <w:lvl w:ilvl="0">
      <w:start w:val="1"/>
      <w:numFmt w:val="decimal"/>
      <w:pStyle w:val="Listenumros2"/>
      <w:lvlText w:val="%1."/>
      <w:lvlJc w:val="left"/>
      <w:pPr>
        <w:tabs>
          <w:tab w:val="num" w:pos="643"/>
        </w:tabs>
        <w:ind w:left="643" w:hanging="360"/>
      </w:pPr>
    </w:lvl>
  </w:abstractNum>
  <w:abstractNum w:abstractNumId="4">
    <w:nsid w:val="FFFFFF80"/>
    <w:multiLevelType w:val="singleLevel"/>
    <w:tmpl w:val="CFA0A718"/>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Listenumros"/>
      <w:lvlText w:val="%1."/>
      <w:lvlJc w:val="left"/>
      <w:pPr>
        <w:tabs>
          <w:tab w:val="num" w:pos="360"/>
        </w:tabs>
        <w:ind w:left="360" w:hanging="360"/>
      </w:pPr>
    </w:lvl>
  </w:abstractNum>
  <w:abstractNum w:abstractNumId="9">
    <w:nsid w:val="FFFFFF89"/>
    <w:multiLevelType w:val="singleLevel"/>
    <w:tmpl w:val="03AEA0B8"/>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9">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1">
    <w:nsid w:val="65D7306C"/>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45"/>
  </w:num>
  <w:num w:numId="3">
    <w:abstractNumId w:val="21"/>
  </w:num>
  <w:num w:numId="4">
    <w:abstractNumId w:val="10"/>
  </w:num>
  <w:num w:numId="5">
    <w:abstractNumId w:val="4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6"/>
  </w:num>
  <w:num w:numId="17">
    <w:abstractNumId w:val="40"/>
  </w:num>
  <w:num w:numId="18">
    <w:abstractNumId w:val="35"/>
  </w:num>
  <w:num w:numId="19">
    <w:abstractNumId w:val="36"/>
  </w:num>
  <w:num w:numId="20">
    <w:abstractNumId w:val="25"/>
  </w:num>
  <w:num w:numId="21">
    <w:abstractNumId w:val="15"/>
  </w:num>
  <w:num w:numId="22">
    <w:abstractNumId w:val="19"/>
  </w:num>
  <w:num w:numId="23">
    <w:abstractNumId w:val="38"/>
  </w:num>
  <w:num w:numId="24">
    <w:abstractNumId w:val="34"/>
  </w:num>
  <w:num w:numId="25">
    <w:abstractNumId w:val="37"/>
  </w:num>
  <w:num w:numId="26">
    <w:abstractNumId w:val="43"/>
  </w:num>
  <w:num w:numId="27">
    <w:abstractNumId w:val="23"/>
  </w:num>
  <w:num w:numId="28">
    <w:abstractNumId w:val="11"/>
  </w:num>
  <w:num w:numId="29">
    <w:abstractNumId w:val="31"/>
  </w:num>
  <w:num w:numId="30">
    <w:abstractNumId w:val="16"/>
  </w:num>
  <w:num w:numId="31">
    <w:abstractNumId w:val="39"/>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12"/>
  </w:num>
  <w:num w:numId="35">
    <w:abstractNumId w:val="32"/>
  </w:num>
  <w:num w:numId="36">
    <w:abstractNumId w:val="28"/>
  </w:num>
  <w:num w:numId="37">
    <w:abstractNumId w:val="29"/>
  </w:num>
  <w:num w:numId="38">
    <w:abstractNumId w:val="1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3"/>
  </w:num>
  <w:num w:numId="42">
    <w:abstractNumId w:val="24"/>
  </w:num>
  <w:num w:numId="43">
    <w:abstractNumId w:val="33"/>
  </w:num>
  <w:num w:numId="44">
    <w:abstractNumId w:val="30"/>
  </w:num>
  <w:num w:numId="45">
    <w:abstractNumId w:val="27"/>
  </w:num>
  <w:num w:numId="46">
    <w:abstractNumId w:val="42"/>
  </w:num>
  <w:num w:numId="47">
    <w:abstractNumId w:val="20"/>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activeWritingStyle w:appName="MSWord" w:lang="fr-FR" w:vendorID="9" w:dllVersion="512" w:checkStyle="1"/>
  <w:activeWritingStyle w:appName="MSWord" w:lang="sv-SE" w:vendorID="0" w:dllVersion="512" w:checkStyle="1"/>
  <w:activeWritingStyle w:appName="MSWord" w:lang="pt-PT" w:vendorID="13" w:dllVersion="513" w:checkStyle="1"/>
  <w:activeWritingStyle w:appName="MSWord" w:lang="sv-SE" w:vendorID="666" w:dllVersion="513" w:checkStyle="1"/>
  <w:activeWritingStyle w:appName="MSWord" w:lang="fi-FI" w:vendorID="666" w:dllVersion="513" w:checkStyle="1"/>
  <w:activeWritingStyle w:appName="MSWord" w:lang="it-IT" w:vendorID="3" w:dllVersion="517" w:checkStyle="1"/>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defaultTabStop w:val="706"/>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835688"/>
    <w:rsid w:val="000003D5"/>
    <w:rsid w:val="00000A8E"/>
    <w:rsid w:val="00001D73"/>
    <w:rsid w:val="00001D8F"/>
    <w:rsid w:val="00002044"/>
    <w:rsid w:val="00002308"/>
    <w:rsid w:val="00005B06"/>
    <w:rsid w:val="00005F3F"/>
    <w:rsid w:val="00006607"/>
    <w:rsid w:val="0000732D"/>
    <w:rsid w:val="00007D2F"/>
    <w:rsid w:val="0001023C"/>
    <w:rsid w:val="0001138F"/>
    <w:rsid w:val="00012056"/>
    <w:rsid w:val="0001493E"/>
    <w:rsid w:val="00014ADC"/>
    <w:rsid w:val="00016755"/>
    <w:rsid w:val="000167ED"/>
    <w:rsid w:val="00017D90"/>
    <w:rsid w:val="000212EF"/>
    <w:rsid w:val="000216C8"/>
    <w:rsid w:val="0002207F"/>
    <w:rsid w:val="0002214A"/>
    <w:rsid w:val="00022C40"/>
    <w:rsid w:val="00023684"/>
    <w:rsid w:val="00023F21"/>
    <w:rsid w:val="00025B0D"/>
    <w:rsid w:val="00025FD5"/>
    <w:rsid w:val="000260F5"/>
    <w:rsid w:val="000262DC"/>
    <w:rsid w:val="0002652A"/>
    <w:rsid w:val="00026A69"/>
    <w:rsid w:val="00030351"/>
    <w:rsid w:val="0003067A"/>
    <w:rsid w:val="00033047"/>
    <w:rsid w:val="0003380B"/>
    <w:rsid w:val="000339DC"/>
    <w:rsid w:val="000346B8"/>
    <w:rsid w:val="00034B42"/>
    <w:rsid w:val="000372C9"/>
    <w:rsid w:val="00037A0F"/>
    <w:rsid w:val="00042A5E"/>
    <w:rsid w:val="00042DCF"/>
    <w:rsid w:val="00043936"/>
    <w:rsid w:val="000444B9"/>
    <w:rsid w:val="00045035"/>
    <w:rsid w:val="000457DF"/>
    <w:rsid w:val="00047C66"/>
    <w:rsid w:val="00052578"/>
    <w:rsid w:val="00052E5D"/>
    <w:rsid w:val="00057E8D"/>
    <w:rsid w:val="00060909"/>
    <w:rsid w:val="00061F6E"/>
    <w:rsid w:val="00062CFC"/>
    <w:rsid w:val="00063E6F"/>
    <w:rsid w:val="00063EC5"/>
    <w:rsid w:val="00064FC3"/>
    <w:rsid w:val="00065352"/>
    <w:rsid w:val="000662C9"/>
    <w:rsid w:val="00070009"/>
    <w:rsid w:val="000705DC"/>
    <w:rsid w:val="00070AA2"/>
    <w:rsid w:val="0007128F"/>
    <w:rsid w:val="00072E60"/>
    <w:rsid w:val="0007407E"/>
    <w:rsid w:val="0007471A"/>
    <w:rsid w:val="00075518"/>
    <w:rsid w:val="00075E60"/>
    <w:rsid w:val="00076451"/>
    <w:rsid w:val="00076D51"/>
    <w:rsid w:val="00076D8E"/>
    <w:rsid w:val="000771BE"/>
    <w:rsid w:val="0007761D"/>
    <w:rsid w:val="00080305"/>
    <w:rsid w:val="0008041E"/>
    <w:rsid w:val="00080702"/>
    <w:rsid w:val="00081C55"/>
    <w:rsid w:val="0008307A"/>
    <w:rsid w:val="0008319B"/>
    <w:rsid w:val="0008346B"/>
    <w:rsid w:val="00083EBA"/>
    <w:rsid w:val="00083FA0"/>
    <w:rsid w:val="0008400B"/>
    <w:rsid w:val="000859EA"/>
    <w:rsid w:val="000901EB"/>
    <w:rsid w:val="0009130F"/>
    <w:rsid w:val="0009234F"/>
    <w:rsid w:val="00093432"/>
    <w:rsid w:val="00093A9F"/>
    <w:rsid w:val="0009497E"/>
    <w:rsid w:val="000951AB"/>
    <w:rsid w:val="00096039"/>
    <w:rsid w:val="0009631E"/>
    <w:rsid w:val="00096418"/>
    <w:rsid w:val="0009666B"/>
    <w:rsid w:val="0009688D"/>
    <w:rsid w:val="000A0D78"/>
    <w:rsid w:val="000A1ADF"/>
    <w:rsid w:val="000A2841"/>
    <w:rsid w:val="000A2C86"/>
    <w:rsid w:val="000A305F"/>
    <w:rsid w:val="000A3495"/>
    <w:rsid w:val="000A3D31"/>
    <w:rsid w:val="000A3D92"/>
    <w:rsid w:val="000A4F27"/>
    <w:rsid w:val="000A53AD"/>
    <w:rsid w:val="000A5C9B"/>
    <w:rsid w:val="000A6B82"/>
    <w:rsid w:val="000A74CF"/>
    <w:rsid w:val="000B0185"/>
    <w:rsid w:val="000B05C7"/>
    <w:rsid w:val="000B071E"/>
    <w:rsid w:val="000B3205"/>
    <w:rsid w:val="000B369C"/>
    <w:rsid w:val="000B4BAB"/>
    <w:rsid w:val="000B521F"/>
    <w:rsid w:val="000B5365"/>
    <w:rsid w:val="000B6C93"/>
    <w:rsid w:val="000B7194"/>
    <w:rsid w:val="000B72F7"/>
    <w:rsid w:val="000C099A"/>
    <w:rsid w:val="000C1C2F"/>
    <w:rsid w:val="000C234B"/>
    <w:rsid w:val="000C296B"/>
    <w:rsid w:val="000C351B"/>
    <w:rsid w:val="000C4043"/>
    <w:rsid w:val="000C4DC4"/>
    <w:rsid w:val="000C6D99"/>
    <w:rsid w:val="000C6DD4"/>
    <w:rsid w:val="000C751D"/>
    <w:rsid w:val="000C7B11"/>
    <w:rsid w:val="000C7EAB"/>
    <w:rsid w:val="000D2E52"/>
    <w:rsid w:val="000D4B95"/>
    <w:rsid w:val="000D4D90"/>
    <w:rsid w:val="000D541C"/>
    <w:rsid w:val="000D5885"/>
    <w:rsid w:val="000D5A74"/>
    <w:rsid w:val="000D6013"/>
    <w:rsid w:val="000D6034"/>
    <w:rsid w:val="000D68F6"/>
    <w:rsid w:val="000E1EB7"/>
    <w:rsid w:val="000E2985"/>
    <w:rsid w:val="000E3E28"/>
    <w:rsid w:val="000E40A4"/>
    <w:rsid w:val="000E477C"/>
    <w:rsid w:val="000E4D02"/>
    <w:rsid w:val="000E4D46"/>
    <w:rsid w:val="000E731A"/>
    <w:rsid w:val="000E78C7"/>
    <w:rsid w:val="000F08D4"/>
    <w:rsid w:val="000F0F79"/>
    <w:rsid w:val="000F1E4D"/>
    <w:rsid w:val="000F2E9E"/>
    <w:rsid w:val="000F3E37"/>
    <w:rsid w:val="000F3FA4"/>
    <w:rsid w:val="000F5339"/>
    <w:rsid w:val="000F5CE9"/>
    <w:rsid w:val="000F63B9"/>
    <w:rsid w:val="0010095B"/>
    <w:rsid w:val="00101B5A"/>
    <w:rsid w:val="001031F9"/>
    <w:rsid w:val="001035B5"/>
    <w:rsid w:val="00103ECE"/>
    <w:rsid w:val="00104A83"/>
    <w:rsid w:val="00105133"/>
    <w:rsid w:val="0010555B"/>
    <w:rsid w:val="00105BE1"/>
    <w:rsid w:val="00106A93"/>
    <w:rsid w:val="00106D19"/>
    <w:rsid w:val="00106DDA"/>
    <w:rsid w:val="00107CEE"/>
    <w:rsid w:val="00111D86"/>
    <w:rsid w:val="00111F09"/>
    <w:rsid w:val="00113320"/>
    <w:rsid w:val="00113AC6"/>
    <w:rsid w:val="00113EC5"/>
    <w:rsid w:val="00114095"/>
    <w:rsid w:val="001226E5"/>
    <w:rsid w:val="001227D7"/>
    <w:rsid w:val="0012318B"/>
    <w:rsid w:val="00123395"/>
    <w:rsid w:val="001250BE"/>
    <w:rsid w:val="00126687"/>
    <w:rsid w:val="001274B8"/>
    <w:rsid w:val="001308E3"/>
    <w:rsid w:val="00130CD9"/>
    <w:rsid w:val="0013196D"/>
    <w:rsid w:val="00132B23"/>
    <w:rsid w:val="00134844"/>
    <w:rsid w:val="00134D1F"/>
    <w:rsid w:val="001352AA"/>
    <w:rsid w:val="00135419"/>
    <w:rsid w:val="0013559E"/>
    <w:rsid w:val="00140969"/>
    <w:rsid w:val="00140EE4"/>
    <w:rsid w:val="00141524"/>
    <w:rsid w:val="00141809"/>
    <w:rsid w:val="00142D9E"/>
    <w:rsid w:val="00142DF7"/>
    <w:rsid w:val="00142FA5"/>
    <w:rsid w:val="00143CAC"/>
    <w:rsid w:val="00143F50"/>
    <w:rsid w:val="00146A7A"/>
    <w:rsid w:val="00147398"/>
    <w:rsid w:val="00147FAF"/>
    <w:rsid w:val="00150742"/>
    <w:rsid w:val="001507DC"/>
    <w:rsid w:val="00151B6D"/>
    <w:rsid w:val="001524AA"/>
    <w:rsid w:val="001524D2"/>
    <w:rsid w:val="001527AC"/>
    <w:rsid w:val="001542F3"/>
    <w:rsid w:val="001554CC"/>
    <w:rsid w:val="001565F0"/>
    <w:rsid w:val="001566D1"/>
    <w:rsid w:val="00157098"/>
    <w:rsid w:val="00160153"/>
    <w:rsid w:val="0016235C"/>
    <w:rsid w:val="00163534"/>
    <w:rsid w:val="00164635"/>
    <w:rsid w:val="00165455"/>
    <w:rsid w:val="00166FC2"/>
    <w:rsid w:val="00167FC9"/>
    <w:rsid w:val="001703D7"/>
    <w:rsid w:val="00170F3B"/>
    <w:rsid w:val="00171061"/>
    <w:rsid w:val="00172CF0"/>
    <w:rsid w:val="00173577"/>
    <w:rsid w:val="00174065"/>
    <w:rsid w:val="00174C32"/>
    <w:rsid w:val="00174CE2"/>
    <w:rsid w:val="001752B0"/>
    <w:rsid w:val="00175DED"/>
    <w:rsid w:val="001767E7"/>
    <w:rsid w:val="00180A89"/>
    <w:rsid w:val="00180C7C"/>
    <w:rsid w:val="00180FFE"/>
    <w:rsid w:val="00181BCF"/>
    <w:rsid w:val="00183B5A"/>
    <w:rsid w:val="00183FC4"/>
    <w:rsid w:val="001842AB"/>
    <w:rsid w:val="00184E3A"/>
    <w:rsid w:val="00187415"/>
    <w:rsid w:val="00187FAF"/>
    <w:rsid w:val="001901A4"/>
    <w:rsid w:val="00190D50"/>
    <w:rsid w:val="00190E86"/>
    <w:rsid w:val="00195330"/>
    <w:rsid w:val="00196512"/>
    <w:rsid w:val="00196E64"/>
    <w:rsid w:val="001970A2"/>
    <w:rsid w:val="00197B31"/>
    <w:rsid w:val="001A04D6"/>
    <w:rsid w:val="001A0AF5"/>
    <w:rsid w:val="001A1237"/>
    <w:rsid w:val="001A1AD3"/>
    <w:rsid w:val="001A568E"/>
    <w:rsid w:val="001A5FD4"/>
    <w:rsid w:val="001A6028"/>
    <w:rsid w:val="001A6410"/>
    <w:rsid w:val="001A7309"/>
    <w:rsid w:val="001A7A07"/>
    <w:rsid w:val="001A7B84"/>
    <w:rsid w:val="001A7ED4"/>
    <w:rsid w:val="001B1861"/>
    <w:rsid w:val="001B3B27"/>
    <w:rsid w:val="001B44E6"/>
    <w:rsid w:val="001B4693"/>
    <w:rsid w:val="001B50EF"/>
    <w:rsid w:val="001B58D5"/>
    <w:rsid w:val="001B59C1"/>
    <w:rsid w:val="001B70D9"/>
    <w:rsid w:val="001B78EC"/>
    <w:rsid w:val="001C0DA2"/>
    <w:rsid w:val="001C1506"/>
    <w:rsid w:val="001C20C8"/>
    <w:rsid w:val="001C407E"/>
    <w:rsid w:val="001C43AF"/>
    <w:rsid w:val="001C4854"/>
    <w:rsid w:val="001C4B59"/>
    <w:rsid w:val="001C56E6"/>
    <w:rsid w:val="001C5751"/>
    <w:rsid w:val="001C5D3C"/>
    <w:rsid w:val="001C6292"/>
    <w:rsid w:val="001D0723"/>
    <w:rsid w:val="001D130B"/>
    <w:rsid w:val="001D15DF"/>
    <w:rsid w:val="001D2C2E"/>
    <w:rsid w:val="001D4052"/>
    <w:rsid w:val="001D4B23"/>
    <w:rsid w:val="001D4D55"/>
    <w:rsid w:val="001D4E1D"/>
    <w:rsid w:val="001D6F7B"/>
    <w:rsid w:val="001E0519"/>
    <w:rsid w:val="001E193C"/>
    <w:rsid w:val="001E2001"/>
    <w:rsid w:val="001E2917"/>
    <w:rsid w:val="001E3D46"/>
    <w:rsid w:val="001E5616"/>
    <w:rsid w:val="001E6B4B"/>
    <w:rsid w:val="001E74E1"/>
    <w:rsid w:val="001E7A4D"/>
    <w:rsid w:val="001E7A98"/>
    <w:rsid w:val="001F0334"/>
    <w:rsid w:val="001F0950"/>
    <w:rsid w:val="001F3011"/>
    <w:rsid w:val="001F32CB"/>
    <w:rsid w:val="001F48D8"/>
    <w:rsid w:val="001F57FF"/>
    <w:rsid w:val="001F6022"/>
    <w:rsid w:val="001F614D"/>
    <w:rsid w:val="001F6681"/>
    <w:rsid w:val="001F6BA4"/>
    <w:rsid w:val="0020167D"/>
    <w:rsid w:val="002023D0"/>
    <w:rsid w:val="00203A4F"/>
    <w:rsid w:val="00203D1A"/>
    <w:rsid w:val="00204898"/>
    <w:rsid w:val="00205D20"/>
    <w:rsid w:val="00206868"/>
    <w:rsid w:val="00207248"/>
    <w:rsid w:val="00207619"/>
    <w:rsid w:val="002078FF"/>
    <w:rsid w:val="00210136"/>
    <w:rsid w:val="00210655"/>
    <w:rsid w:val="002111FF"/>
    <w:rsid w:val="00211F5F"/>
    <w:rsid w:val="00212F0C"/>
    <w:rsid w:val="002139FE"/>
    <w:rsid w:val="00213D19"/>
    <w:rsid w:val="00215DD0"/>
    <w:rsid w:val="0021609E"/>
    <w:rsid w:val="002161E5"/>
    <w:rsid w:val="00217227"/>
    <w:rsid w:val="00217719"/>
    <w:rsid w:val="00217736"/>
    <w:rsid w:val="00217BB0"/>
    <w:rsid w:val="00220718"/>
    <w:rsid w:val="00220C1C"/>
    <w:rsid w:val="002211A3"/>
    <w:rsid w:val="00221726"/>
    <w:rsid w:val="00221D16"/>
    <w:rsid w:val="002222A7"/>
    <w:rsid w:val="002242F0"/>
    <w:rsid w:val="0022644E"/>
    <w:rsid w:val="00227213"/>
    <w:rsid w:val="00230DBD"/>
    <w:rsid w:val="00231DF5"/>
    <w:rsid w:val="00234316"/>
    <w:rsid w:val="0023448F"/>
    <w:rsid w:val="002345EA"/>
    <w:rsid w:val="002367BC"/>
    <w:rsid w:val="00236C5E"/>
    <w:rsid w:val="00240A2B"/>
    <w:rsid w:val="00241139"/>
    <w:rsid w:val="00242088"/>
    <w:rsid w:val="00242404"/>
    <w:rsid w:val="00243D2C"/>
    <w:rsid w:val="00244388"/>
    <w:rsid w:val="00244A1B"/>
    <w:rsid w:val="00244B29"/>
    <w:rsid w:val="002472C4"/>
    <w:rsid w:val="00247DD7"/>
    <w:rsid w:val="00250C29"/>
    <w:rsid w:val="00252A85"/>
    <w:rsid w:val="002533F0"/>
    <w:rsid w:val="002542F7"/>
    <w:rsid w:val="00255671"/>
    <w:rsid w:val="0025798F"/>
    <w:rsid w:val="002624B1"/>
    <w:rsid w:val="00262C15"/>
    <w:rsid w:val="00262E3A"/>
    <w:rsid w:val="00263561"/>
    <w:rsid w:val="0026368F"/>
    <w:rsid w:val="002639BA"/>
    <w:rsid w:val="00265762"/>
    <w:rsid w:val="00265925"/>
    <w:rsid w:val="0026618A"/>
    <w:rsid w:val="00266942"/>
    <w:rsid w:val="00266D9C"/>
    <w:rsid w:val="00267E5A"/>
    <w:rsid w:val="00271AD0"/>
    <w:rsid w:val="00271C4F"/>
    <w:rsid w:val="00271C73"/>
    <w:rsid w:val="00273E00"/>
    <w:rsid w:val="00274199"/>
    <w:rsid w:val="00275892"/>
    <w:rsid w:val="00280A0F"/>
    <w:rsid w:val="002819E5"/>
    <w:rsid w:val="00282023"/>
    <w:rsid w:val="002821AD"/>
    <w:rsid w:val="00282396"/>
    <w:rsid w:val="00282B3E"/>
    <w:rsid w:val="00283254"/>
    <w:rsid w:val="00283336"/>
    <w:rsid w:val="00284156"/>
    <w:rsid w:val="0028470F"/>
    <w:rsid w:val="00284865"/>
    <w:rsid w:val="0028541F"/>
    <w:rsid w:val="00286999"/>
    <w:rsid w:val="002870B9"/>
    <w:rsid w:val="00287147"/>
    <w:rsid w:val="00287191"/>
    <w:rsid w:val="00290F90"/>
    <w:rsid w:val="002915C4"/>
    <w:rsid w:val="002921BB"/>
    <w:rsid w:val="00293142"/>
    <w:rsid w:val="0029351F"/>
    <w:rsid w:val="00294780"/>
    <w:rsid w:val="00294F48"/>
    <w:rsid w:val="0029723C"/>
    <w:rsid w:val="002A0703"/>
    <w:rsid w:val="002A1C46"/>
    <w:rsid w:val="002A27EC"/>
    <w:rsid w:val="002A341F"/>
    <w:rsid w:val="002A4F03"/>
    <w:rsid w:val="002A7CF0"/>
    <w:rsid w:val="002B015F"/>
    <w:rsid w:val="002B0761"/>
    <w:rsid w:val="002B09CB"/>
    <w:rsid w:val="002B3C84"/>
    <w:rsid w:val="002B4A39"/>
    <w:rsid w:val="002B4BF2"/>
    <w:rsid w:val="002B5869"/>
    <w:rsid w:val="002B6526"/>
    <w:rsid w:val="002C1202"/>
    <w:rsid w:val="002C2D83"/>
    <w:rsid w:val="002C315F"/>
    <w:rsid w:val="002D0334"/>
    <w:rsid w:val="002D08FC"/>
    <w:rsid w:val="002D1424"/>
    <w:rsid w:val="002D2454"/>
    <w:rsid w:val="002D3B07"/>
    <w:rsid w:val="002D40BB"/>
    <w:rsid w:val="002D4765"/>
    <w:rsid w:val="002D515F"/>
    <w:rsid w:val="002D5623"/>
    <w:rsid w:val="002D5F52"/>
    <w:rsid w:val="002D5F73"/>
    <w:rsid w:val="002D77E9"/>
    <w:rsid w:val="002E0D84"/>
    <w:rsid w:val="002E221E"/>
    <w:rsid w:val="002E676E"/>
    <w:rsid w:val="002E6A77"/>
    <w:rsid w:val="002E6DAE"/>
    <w:rsid w:val="002E7937"/>
    <w:rsid w:val="002F07AC"/>
    <w:rsid w:val="002F0E0D"/>
    <w:rsid w:val="002F1309"/>
    <w:rsid w:val="002F1CE6"/>
    <w:rsid w:val="002F520B"/>
    <w:rsid w:val="002F5677"/>
    <w:rsid w:val="002F58A4"/>
    <w:rsid w:val="002F62C0"/>
    <w:rsid w:val="002F7044"/>
    <w:rsid w:val="002F77DC"/>
    <w:rsid w:val="002F788C"/>
    <w:rsid w:val="002F7D73"/>
    <w:rsid w:val="00300C82"/>
    <w:rsid w:val="003027F7"/>
    <w:rsid w:val="00303ECB"/>
    <w:rsid w:val="0030487C"/>
    <w:rsid w:val="0030491E"/>
    <w:rsid w:val="00304C85"/>
    <w:rsid w:val="003052EB"/>
    <w:rsid w:val="00305449"/>
    <w:rsid w:val="00305D59"/>
    <w:rsid w:val="003060D8"/>
    <w:rsid w:val="003072DE"/>
    <w:rsid w:val="003103C7"/>
    <w:rsid w:val="00313723"/>
    <w:rsid w:val="003138C8"/>
    <w:rsid w:val="00314704"/>
    <w:rsid w:val="00314C54"/>
    <w:rsid w:val="00315FB2"/>
    <w:rsid w:val="00317818"/>
    <w:rsid w:val="00317A42"/>
    <w:rsid w:val="00321D5E"/>
    <w:rsid w:val="0032324E"/>
    <w:rsid w:val="0032346F"/>
    <w:rsid w:val="003250EB"/>
    <w:rsid w:val="003273CA"/>
    <w:rsid w:val="00327411"/>
    <w:rsid w:val="003306D4"/>
    <w:rsid w:val="00331564"/>
    <w:rsid w:val="003349C2"/>
    <w:rsid w:val="00334AB3"/>
    <w:rsid w:val="0033607C"/>
    <w:rsid w:val="0033610E"/>
    <w:rsid w:val="003374E7"/>
    <w:rsid w:val="003376CA"/>
    <w:rsid w:val="003407D0"/>
    <w:rsid w:val="003409A6"/>
    <w:rsid w:val="00340DEB"/>
    <w:rsid w:val="00340FE0"/>
    <w:rsid w:val="00341552"/>
    <w:rsid w:val="0034172E"/>
    <w:rsid w:val="003418E3"/>
    <w:rsid w:val="0034234B"/>
    <w:rsid w:val="003428ED"/>
    <w:rsid w:val="003431D6"/>
    <w:rsid w:val="00343545"/>
    <w:rsid w:val="003452D4"/>
    <w:rsid w:val="003465BA"/>
    <w:rsid w:val="00346848"/>
    <w:rsid w:val="00346A5D"/>
    <w:rsid w:val="00346B3C"/>
    <w:rsid w:val="00346C35"/>
    <w:rsid w:val="00346FA1"/>
    <w:rsid w:val="00350960"/>
    <w:rsid w:val="00350C84"/>
    <w:rsid w:val="0035137A"/>
    <w:rsid w:val="00352B9A"/>
    <w:rsid w:val="00353314"/>
    <w:rsid w:val="0035660A"/>
    <w:rsid w:val="00357B16"/>
    <w:rsid w:val="00360C11"/>
    <w:rsid w:val="00360C14"/>
    <w:rsid w:val="003619B7"/>
    <w:rsid w:val="00361E13"/>
    <w:rsid w:val="003620C4"/>
    <w:rsid w:val="0036217A"/>
    <w:rsid w:val="00362D1F"/>
    <w:rsid w:val="0036302C"/>
    <w:rsid w:val="003635AA"/>
    <w:rsid w:val="0036382D"/>
    <w:rsid w:val="00364059"/>
    <w:rsid w:val="00364807"/>
    <w:rsid w:val="00364B09"/>
    <w:rsid w:val="00364D5A"/>
    <w:rsid w:val="003655B3"/>
    <w:rsid w:val="0036567B"/>
    <w:rsid w:val="00365DEA"/>
    <w:rsid w:val="00366FCF"/>
    <w:rsid w:val="0036745F"/>
    <w:rsid w:val="0037052C"/>
    <w:rsid w:val="003706E0"/>
    <w:rsid w:val="00370701"/>
    <w:rsid w:val="00373176"/>
    <w:rsid w:val="003734ED"/>
    <w:rsid w:val="003737C5"/>
    <w:rsid w:val="00373E7D"/>
    <w:rsid w:val="0037461D"/>
    <w:rsid w:val="00375943"/>
    <w:rsid w:val="003759D7"/>
    <w:rsid w:val="003761F2"/>
    <w:rsid w:val="00376652"/>
    <w:rsid w:val="003766F6"/>
    <w:rsid w:val="0037694B"/>
    <w:rsid w:val="00377157"/>
    <w:rsid w:val="00377E66"/>
    <w:rsid w:val="00381566"/>
    <w:rsid w:val="00381E02"/>
    <w:rsid w:val="003824BD"/>
    <w:rsid w:val="00382DDD"/>
    <w:rsid w:val="00383295"/>
    <w:rsid w:val="003835A5"/>
    <w:rsid w:val="00383850"/>
    <w:rsid w:val="00383CB7"/>
    <w:rsid w:val="003842D4"/>
    <w:rsid w:val="003850F7"/>
    <w:rsid w:val="0038544B"/>
    <w:rsid w:val="003855E5"/>
    <w:rsid w:val="00386B91"/>
    <w:rsid w:val="00387F24"/>
    <w:rsid w:val="003913A3"/>
    <w:rsid w:val="00391CF9"/>
    <w:rsid w:val="003922FA"/>
    <w:rsid w:val="003925CE"/>
    <w:rsid w:val="00392D6E"/>
    <w:rsid w:val="003939D2"/>
    <w:rsid w:val="00394281"/>
    <w:rsid w:val="003945F8"/>
    <w:rsid w:val="00394742"/>
    <w:rsid w:val="0039543C"/>
    <w:rsid w:val="0039707B"/>
    <w:rsid w:val="00397248"/>
    <w:rsid w:val="003A09B2"/>
    <w:rsid w:val="003A387D"/>
    <w:rsid w:val="003A3BCF"/>
    <w:rsid w:val="003A3D80"/>
    <w:rsid w:val="003A4EC7"/>
    <w:rsid w:val="003A5006"/>
    <w:rsid w:val="003A5DE8"/>
    <w:rsid w:val="003A73E1"/>
    <w:rsid w:val="003A75E5"/>
    <w:rsid w:val="003A7BA0"/>
    <w:rsid w:val="003B04DB"/>
    <w:rsid w:val="003B0567"/>
    <w:rsid w:val="003B121D"/>
    <w:rsid w:val="003B159E"/>
    <w:rsid w:val="003B16FC"/>
    <w:rsid w:val="003B1759"/>
    <w:rsid w:val="003B238A"/>
    <w:rsid w:val="003B34C3"/>
    <w:rsid w:val="003B35AC"/>
    <w:rsid w:val="003B3845"/>
    <w:rsid w:val="003B3896"/>
    <w:rsid w:val="003B3E1A"/>
    <w:rsid w:val="003B55E4"/>
    <w:rsid w:val="003B5C3D"/>
    <w:rsid w:val="003B61BC"/>
    <w:rsid w:val="003B6855"/>
    <w:rsid w:val="003C0103"/>
    <w:rsid w:val="003C0EA8"/>
    <w:rsid w:val="003C1570"/>
    <w:rsid w:val="003C1D82"/>
    <w:rsid w:val="003C1F34"/>
    <w:rsid w:val="003C33A6"/>
    <w:rsid w:val="003C349E"/>
    <w:rsid w:val="003C412B"/>
    <w:rsid w:val="003C4B04"/>
    <w:rsid w:val="003C5E69"/>
    <w:rsid w:val="003D0232"/>
    <w:rsid w:val="003D0B64"/>
    <w:rsid w:val="003D1B8E"/>
    <w:rsid w:val="003D2870"/>
    <w:rsid w:val="003D306D"/>
    <w:rsid w:val="003D3CFA"/>
    <w:rsid w:val="003D40C2"/>
    <w:rsid w:val="003D4301"/>
    <w:rsid w:val="003D492A"/>
    <w:rsid w:val="003D5DCA"/>
    <w:rsid w:val="003D656D"/>
    <w:rsid w:val="003D7B14"/>
    <w:rsid w:val="003E0E7B"/>
    <w:rsid w:val="003E2D42"/>
    <w:rsid w:val="003E6244"/>
    <w:rsid w:val="003E6809"/>
    <w:rsid w:val="003E6B30"/>
    <w:rsid w:val="003E716D"/>
    <w:rsid w:val="003E76F6"/>
    <w:rsid w:val="003E78B3"/>
    <w:rsid w:val="003F165E"/>
    <w:rsid w:val="003F2982"/>
    <w:rsid w:val="003F2FDE"/>
    <w:rsid w:val="003F301A"/>
    <w:rsid w:val="003F3B92"/>
    <w:rsid w:val="003F420A"/>
    <w:rsid w:val="003F49DD"/>
    <w:rsid w:val="003F55A1"/>
    <w:rsid w:val="003F6053"/>
    <w:rsid w:val="003F6C9B"/>
    <w:rsid w:val="003F7295"/>
    <w:rsid w:val="0040106E"/>
    <w:rsid w:val="00401516"/>
    <w:rsid w:val="0040252B"/>
    <w:rsid w:val="00402F19"/>
    <w:rsid w:val="004035AB"/>
    <w:rsid w:val="0040406E"/>
    <w:rsid w:val="004046BE"/>
    <w:rsid w:val="00404DB2"/>
    <w:rsid w:val="004055AD"/>
    <w:rsid w:val="00405B1F"/>
    <w:rsid w:val="00407422"/>
    <w:rsid w:val="004079E9"/>
    <w:rsid w:val="00411421"/>
    <w:rsid w:val="00412021"/>
    <w:rsid w:val="00413007"/>
    <w:rsid w:val="004132DF"/>
    <w:rsid w:val="00413AC6"/>
    <w:rsid w:val="00413B85"/>
    <w:rsid w:val="00414014"/>
    <w:rsid w:val="00414E99"/>
    <w:rsid w:val="00416D48"/>
    <w:rsid w:val="00417EBD"/>
    <w:rsid w:val="004201DD"/>
    <w:rsid w:val="004203B7"/>
    <w:rsid w:val="004211E6"/>
    <w:rsid w:val="0042131A"/>
    <w:rsid w:val="00421837"/>
    <w:rsid w:val="004219F0"/>
    <w:rsid w:val="0042316E"/>
    <w:rsid w:val="004231C0"/>
    <w:rsid w:val="004236FF"/>
    <w:rsid w:val="004239DF"/>
    <w:rsid w:val="004249F0"/>
    <w:rsid w:val="00424CCB"/>
    <w:rsid w:val="004251D1"/>
    <w:rsid w:val="004254D5"/>
    <w:rsid w:val="004255A3"/>
    <w:rsid w:val="00425603"/>
    <w:rsid w:val="00425BF9"/>
    <w:rsid w:val="0042664F"/>
    <w:rsid w:val="004276D5"/>
    <w:rsid w:val="00430B87"/>
    <w:rsid w:val="0043151B"/>
    <w:rsid w:val="00431DBB"/>
    <w:rsid w:val="00432085"/>
    <w:rsid w:val="00432D50"/>
    <w:rsid w:val="0043358C"/>
    <w:rsid w:val="00434A6C"/>
    <w:rsid w:val="00435320"/>
    <w:rsid w:val="0043533C"/>
    <w:rsid w:val="0043705B"/>
    <w:rsid w:val="004403C4"/>
    <w:rsid w:val="00441BD8"/>
    <w:rsid w:val="00441E61"/>
    <w:rsid w:val="00442678"/>
    <w:rsid w:val="00442FA9"/>
    <w:rsid w:val="004437E0"/>
    <w:rsid w:val="00443CD3"/>
    <w:rsid w:val="00445E54"/>
    <w:rsid w:val="00450D90"/>
    <w:rsid w:val="004524B1"/>
    <w:rsid w:val="0045637D"/>
    <w:rsid w:val="004563AF"/>
    <w:rsid w:val="00460072"/>
    <w:rsid w:val="00460172"/>
    <w:rsid w:val="004604E9"/>
    <w:rsid w:val="004614A1"/>
    <w:rsid w:val="00462EC0"/>
    <w:rsid w:val="00464567"/>
    <w:rsid w:val="00465259"/>
    <w:rsid w:val="004653D9"/>
    <w:rsid w:val="004654DC"/>
    <w:rsid w:val="00465A0D"/>
    <w:rsid w:val="00465C34"/>
    <w:rsid w:val="00466019"/>
    <w:rsid w:val="00466268"/>
    <w:rsid w:val="0046778E"/>
    <w:rsid w:val="004702BA"/>
    <w:rsid w:val="00470475"/>
    <w:rsid w:val="0047059B"/>
    <w:rsid w:val="00470A47"/>
    <w:rsid w:val="00470E4E"/>
    <w:rsid w:val="00471168"/>
    <w:rsid w:val="004721E0"/>
    <w:rsid w:val="0047240A"/>
    <w:rsid w:val="00473441"/>
    <w:rsid w:val="004734A5"/>
    <w:rsid w:val="004736D2"/>
    <w:rsid w:val="004749A7"/>
    <w:rsid w:val="004749EE"/>
    <w:rsid w:val="00475AE5"/>
    <w:rsid w:val="00477696"/>
    <w:rsid w:val="00477F1F"/>
    <w:rsid w:val="00480232"/>
    <w:rsid w:val="004807D3"/>
    <w:rsid w:val="00480983"/>
    <w:rsid w:val="00480BBA"/>
    <w:rsid w:val="00482B8D"/>
    <w:rsid w:val="00483A54"/>
    <w:rsid w:val="00484D41"/>
    <w:rsid w:val="00485BDD"/>
    <w:rsid w:val="00485FE8"/>
    <w:rsid w:val="00486CD2"/>
    <w:rsid w:val="00486D2E"/>
    <w:rsid w:val="004908A5"/>
    <w:rsid w:val="00491767"/>
    <w:rsid w:val="00491D7C"/>
    <w:rsid w:val="004930AD"/>
    <w:rsid w:val="004932DA"/>
    <w:rsid w:val="00496A45"/>
    <w:rsid w:val="004972F6"/>
    <w:rsid w:val="00497731"/>
    <w:rsid w:val="00497895"/>
    <w:rsid w:val="004A01A3"/>
    <w:rsid w:val="004A032B"/>
    <w:rsid w:val="004A0C94"/>
    <w:rsid w:val="004A0F1E"/>
    <w:rsid w:val="004A1897"/>
    <w:rsid w:val="004A347B"/>
    <w:rsid w:val="004A3FD0"/>
    <w:rsid w:val="004A4FF5"/>
    <w:rsid w:val="004A5214"/>
    <w:rsid w:val="004A555A"/>
    <w:rsid w:val="004A6062"/>
    <w:rsid w:val="004B03F5"/>
    <w:rsid w:val="004B06BF"/>
    <w:rsid w:val="004B16FC"/>
    <w:rsid w:val="004B309C"/>
    <w:rsid w:val="004B3586"/>
    <w:rsid w:val="004B5069"/>
    <w:rsid w:val="004B5E4E"/>
    <w:rsid w:val="004B5F03"/>
    <w:rsid w:val="004B676F"/>
    <w:rsid w:val="004C0A92"/>
    <w:rsid w:val="004C1AE4"/>
    <w:rsid w:val="004C409C"/>
    <w:rsid w:val="004C4406"/>
    <w:rsid w:val="004C5589"/>
    <w:rsid w:val="004C61A7"/>
    <w:rsid w:val="004C668D"/>
    <w:rsid w:val="004C691A"/>
    <w:rsid w:val="004C6D08"/>
    <w:rsid w:val="004C6D4E"/>
    <w:rsid w:val="004C6DD0"/>
    <w:rsid w:val="004C72D8"/>
    <w:rsid w:val="004C735A"/>
    <w:rsid w:val="004C76CB"/>
    <w:rsid w:val="004C79DD"/>
    <w:rsid w:val="004C7DF5"/>
    <w:rsid w:val="004D046F"/>
    <w:rsid w:val="004D0D0A"/>
    <w:rsid w:val="004D199C"/>
    <w:rsid w:val="004D2005"/>
    <w:rsid w:val="004D20EB"/>
    <w:rsid w:val="004D27FC"/>
    <w:rsid w:val="004D2828"/>
    <w:rsid w:val="004D795A"/>
    <w:rsid w:val="004E0966"/>
    <w:rsid w:val="004E0D57"/>
    <w:rsid w:val="004E18C0"/>
    <w:rsid w:val="004E3393"/>
    <w:rsid w:val="004E33C9"/>
    <w:rsid w:val="004E3D23"/>
    <w:rsid w:val="004E3EB3"/>
    <w:rsid w:val="004E4552"/>
    <w:rsid w:val="004E5024"/>
    <w:rsid w:val="004E505E"/>
    <w:rsid w:val="004E579B"/>
    <w:rsid w:val="004E58D9"/>
    <w:rsid w:val="004E63CA"/>
    <w:rsid w:val="004E6DA3"/>
    <w:rsid w:val="004F019F"/>
    <w:rsid w:val="004F1495"/>
    <w:rsid w:val="004F304F"/>
    <w:rsid w:val="004F404D"/>
    <w:rsid w:val="004F4497"/>
    <w:rsid w:val="004F45EB"/>
    <w:rsid w:val="004F4CDF"/>
    <w:rsid w:val="004F4D98"/>
    <w:rsid w:val="004F6804"/>
    <w:rsid w:val="004F68A7"/>
    <w:rsid w:val="004F7CFE"/>
    <w:rsid w:val="00503324"/>
    <w:rsid w:val="005035CA"/>
    <w:rsid w:val="00503AB9"/>
    <w:rsid w:val="00504E7E"/>
    <w:rsid w:val="005052B8"/>
    <w:rsid w:val="00506846"/>
    <w:rsid w:val="00510100"/>
    <w:rsid w:val="0051119D"/>
    <w:rsid w:val="00511BAF"/>
    <w:rsid w:val="00511E16"/>
    <w:rsid w:val="00513818"/>
    <w:rsid w:val="00514195"/>
    <w:rsid w:val="00514A63"/>
    <w:rsid w:val="00515F4E"/>
    <w:rsid w:val="00516376"/>
    <w:rsid w:val="0051721D"/>
    <w:rsid w:val="00517A0C"/>
    <w:rsid w:val="00520124"/>
    <w:rsid w:val="00521790"/>
    <w:rsid w:val="0052316A"/>
    <w:rsid w:val="0052326B"/>
    <w:rsid w:val="005236F2"/>
    <w:rsid w:val="00524A28"/>
    <w:rsid w:val="0052545D"/>
    <w:rsid w:val="00525D72"/>
    <w:rsid w:val="0052605E"/>
    <w:rsid w:val="00526221"/>
    <w:rsid w:val="005268D0"/>
    <w:rsid w:val="00527453"/>
    <w:rsid w:val="00527972"/>
    <w:rsid w:val="00527D18"/>
    <w:rsid w:val="0053064B"/>
    <w:rsid w:val="0053146D"/>
    <w:rsid w:val="00531926"/>
    <w:rsid w:val="005319B5"/>
    <w:rsid w:val="00535B26"/>
    <w:rsid w:val="00536191"/>
    <w:rsid w:val="0053642D"/>
    <w:rsid w:val="005379C9"/>
    <w:rsid w:val="00540B31"/>
    <w:rsid w:val="00541526"/>
    <w:rsid w:val="00542561"/>
    <w:rsid w:val="00542A40"/>
    <w:rsid w:val="005443E1"/>
    <w:rsid w:val="005445AA"/>
    <w:rsid w:val="00544688"/>
    <w:rsid w:val="005447F6"/>
    <w:rsid w:val="00544CAA"/>
    <w:rsid w:val="00546AF8"/>
    <w:rsid w:val="00547237"/>
    <w:rsid w:val="00547CA4"/>
    <w:rsid w:val="00547ED6"/>
    <w:rsid w:val="005501DA"/>
    <w:rsid w:val="00551534"/>
    <w:rsid w:val="00555569"/>
    <w:rsid w:val="005564D7"/>
    <w:rsid w:val="00560B55"/>
    <w:rsid w:val="0056160D"/>
    <w:rsid w:val="00561AFB"/>
    <w:rsid w:val="005621C6"/>
    <w:rsid w:val="0056262E"/>
    <w:rsid w:val="0056375C"/>
    <w:rsid w:val="005659BF"/>
    <w:rsid w:val="0056613B"/>
    <w:rsid w:val="005661F6"/>
    <w:rsid w:val="00566499"/>
    <w:rsid w:val="00566990"/>
    <w:rsid w:val="0056733C"/>
    <w:rsid w:val="00567CFA"/>
    <w:rsid w:val="0057103A"/>
    <w:rsid w:val="0057198B"/>
    <w:rsid w:val="00571C99"/>
    <w:rsid w:val="005737E4"/>
    <w:rsid w:val="00573995"/>
    <w:rsid w:val="00573F0E"/>
    <w:rsid w:val="005740C2"/>
    <w:rsid w:val="005751A8"/>
    <w:rsid w:val="0057536C"/>
    <w:rsid w:val="005801E1"/>
    <w:rsid w:val="005804A6"/>
    <w:rsid w:val="005816F1"/>
    <w:rsid w:val="00583433"/>
    <w:rsid w:val="00584102"/>
    <w:rsid w:val="00584BF5"/>
    <w:rsid w:val="00585331"/>
    <w:rsid w:val="005869AD"/>
    <w:rsid w:val="00587B95"/>
    <w:rsid w:val="00587EA3"/>
    <w:rsid w:val="00590D2E"/>
    <w:rsid w:val="0059223C"/>
    <w:rsid w:val="005936FF"/>
    <w:rsid w:val="005938A2"/>
    <w:rsid w:val="00593DA2"/>
    <w:rsid w:val="005961AB"/>
    <w:rsid w:val="00596E28"/>
    <w:rsid w:val="005977C5"/>
    <w:rsid w:val="00597EE7"/>
    <w:rsid w:val="005A0DB0"/>
    <w:rsid w:val="005A2E9A"/>
    <w:rsid w:val="005A3309"/>
    <w:rsid w:val="005A36F7"/>
    <w:rsid w:val="005A537C"/>
    <w:rsid w:val="005A5CC4"/>
    <w:rsid w:val="005B1365"/>
    <w:rsid w:val="005B21F8"/>
    <w:rsid w:val="005B36D8"/>
    <w:rsid w:val="005B51DE"/>
    <w:rsid w:val="005B63DA"/>
    <w:rsid w:val="005B6699"/>
    <w:rsid w:val="005B7AAF"/>
    <w:rsid w:val="005C058E"/>
    <w:rsid w:val="005C1DFC"/>
    <w:rsid w:val="005C47A8"/>
    <w:rsid w:val="005C4BFF"/>
    <w:rsid w:val="005C53DB"/>
    <w:rsid w:val="005C72CB"/>
    <w:rsid w:val="005D0A36"/>
    <w:rsid w:val="005D107F"/>
    <w:rsid w:val="005D7586"/>
    <w:rsid w:val="005D7FB0"/>
    <w:rsid w:val="005E0C06"/>
    <w:rsid w:val="005E165F"/>
    <w:rsid w:val="005E1B0C"/>
    <w:rsid w:val="005E2E95"/>
    <w:rsid w:val="005E301A"/>
    <w:rsid w:val="005E31F8"/>
    <w:rsid w:val="005E356D"/>
    <w:rsid w:val="005E5A46"/>
    <w:rsid w:val="005E7568"/>
    <w:rsid w:val="005E79EB"/>
    <w:rsid w:val="005F1107"/>
    <w:rsid w:val="005F1B24"/>
    <w:rsid w:val="005F1C48"/>
    <w:rsid w:val="005F1DC2"/>
    <w:rsid w:val="005F2802"/>
    <w:rsid w:val="005F3FCD"/>
    <w:rsid w:val="005F43E1"/>
    <w:rsid w:val="005F465F"/>
    <w:rsid w:val="005F611B"/>
    <w:rsid w:val="005F6E3E"/>
    <w:rsid w:val="005F77DC"/>
    <w:rsid w:val="005F7C1B"/>
    <w:rsid w:val="006001B7"/>
    <w:rsid w:val="006007D3"/>
    <w:rsid w:val="00600A32"/>
    <w:rsid w:val="00600D42"/>
    <w:rsid w:val="0060197E"/>
    <w:rsid w:val="006046B7"/>
    <w:rsid w:val="006050B5"/>
    <w:rsid w:val="006057A6"/>
    <w:rsid w:val="00606475"/>
    <w:rsid w:val="0061049D"/>
    <w:rsid w:val="00610543"/>
    <w:rsid w:val="00611FB4"/>
    <w:rsid w:val="00612173"/>
    <w:rsid w:val="006123DF"/>
    <w:rsid w:val="00612896"/>
    <w:rsid w:val="006130DE"/>
    <w:rsid w:val="00613C9F"/>
    <w:rsid w:val="00614496"/>
    <w:rsid w:val="00615013"/>
    <w:rsid w:val="00615498"/>
    <w:rsid w:val="00615544"/>
    <w:rsid w:val="00616140"/>
    <w:rsid w:val="00620817"/>
    <w:rsid w:val="0062088F"/>
    <w:rsid w:val="006208CF"/>
    <w:rsid w:val="006219D0"/>
    <w:rsid w:val="00621C9F"/>
    <w:rsid w:val="006239CF"/>
    <w:rsid w:val="00623AF7"/>
    <w:rsid w:val="00623CB3"/>
    <w:rsid w:val="00625EB5"/>
    <w:rsid w:val="00626255"/>
    <w:rsid w:val="0062700E"/>
    <w:rsid w:val="006272D1"/>
    <w:rsid w:val="00630524"/>
    <w:rsid w:val="00630C5A"/>
    <w:rsid w:val="00630E5A"/>
    <w:rsid w:val="00631CD5"/>
    <w:rsid w:val="00632060"/>
    <w:rsid w:val="006326B2"/>
    <w:rsid w:val="00632E06"/>
    <w:rsid w:val="00634804"/>
    <w:rsid w:val="00634E45"/>
    <w:rsid w:val="0063592A"/>
    <w:rsid w:val="00635994"/>
    <w:rsid w:val="0063607B"/>
    <w:rsid w:val="006371EC"/>
    <w:rsid w:val="00643157"/>
    <w:rsid w:val="00643263"/>
    <w:rsid w:val="00643579"/>
    <w:rsid w:val="006439F0"/>
    <w:rsid w:val="0064438C"/>
    <w:rsid w:val="00645BCB"/>
    <w:rsid w:val="0064636B"/>
    <w:rsid w:val="00650325"/>
    <w:rsid w:val="006512B4"/>
    <w:rsid w:val="00652F9A"/>
    <w:rsid w:val="00653D66"/>
    <w:rsid w:val="00653D9E"/>
    <w:rsid w:val="00661C41"/>
    <w:rsid w:val="00662B64"/>
    <w:rsid w:val="00663CD2"/>
    <w:rsid w:val="00665B0B"/>
    <w:rsid w:val="00665B20"/>
    <w:rsid w:val="00666B9D"/>
    <w:rsid w:val="00670730"/>
    <w:rsid w:val="00670757"/>
    <w:rsid w:val="0067101C"/>
    <w:rsid w:val="006716C1"/>
    <w:rsid w:val="006726EB"/>
    <w:rsid w:val="00673A1C"/>
    <w:rsid w:val="00673D73"/>
    <w:rsid w:val="00677196"/>
    <w:rsid w:val="0067780A"/>
    <w:rsid w:val="00680DFF"/>
    <w:rsid w:val="00680E3E"/>
    <w:rsid w:val="0068104D"/>
    <w:rsid w:val="006821E7"/>
    <w:rsid w:val="00682C8F"/>
    <w:rsid w:val="006832E3"/>
    <w:rsid w:val="0068332D"/>
    <w:rsid w:val="00683849"/>
    <w:rsid w:val="00683F9C"/>
    <w:rsid w:val="00685351"/>
    <w:rsid w:val="00685582"/>
    <w:rsid w:val="00690D13"/>
    <w:rsid w:val="00693114"/>
    <w:rsid w:val="00693329"/>
    <w:rsid w:val="00693A1D"/>
    <w:rsid w:val="00694356"/>
    <w:rsid w:val="00695C25"/>
    <w:rsid w:val="00695EA1"/>
    <w:rsid w:val="0069688A"/>
    <w:rsid w:val="00696ECD"/>
    <w:rsid w:val="0069719D"/>
    <w:rsid w:val="006971E0"/>
    <w:rsid w:val="006A05A8"/>
    <w:rsid w:val="006A0975"/>
    <w:rsid w:val="006A0F1E"/>
    <w:rsid w:val="006A132F"/>
    <w:rsid w:val="006A1A3E"/>
    <w:rsid w:val="006A1ADE"/>
    <w:rsid w:val="006A1BF7"/>
    <w:rsid w:val="006A1F0E"/>
    <w:rsid w:val="006A5686"/>
    <w:rsid w:val="006A6A8C"/>
    <w:rsid w:val="006A76F9"/>
    <w:rsid w:val="006A78A3"/>
    <w:rsid w:val="006A7F8B"/>
    <w:rsid w:val="006B076F"/>
    <w:rsid w:val="006B0BF4"/>
    <w:rsid w:val="006B1877"/>
    <w:rsid w:val="006B1C83"/>
    <w:rsid w:val="006B256C"/>
    <w:rsid w:val="006B2F90"/>
    <w:rsid w:val="006B3663"/>
    <w:rsid w:val="006B5846"/>
    <w:rsid w:val="006B598F"/>
    <w:rsid w:val="006B5E37"/>
    <w:rsid w:val="006B7004"/>
    <w:rsid w:val="006B702C"/>
    <w:rsid w:val="006B7030"/>
    <w:rsid w:val="006C08E4"/>
    <w:rsid w:val="006C1E54"/>
    <w:rsid w:val="006C2141"/>
    <w:rsid w:val="006C3751"/>
    <w:rsid w:val="006C5165"/>
    <w:rsid w:val="006C5FFB"/>
    <w:rsid w:val="006D017F"/>
    <w:rsid w:val="006D022A"/>
    <w:rsid w:val="006D087F"/>
    <w:rsid w:val="006D1969"/>
    <w:rsid w:val="006D1B1B"/>
    <w:rsid w:val="006D1BFC"/>
    <w:rsid w:val="006D27A1"/>
    <w:rsid w:val="006D2F76"/>
    <w:rsid w:val="006D5C1C"/>
    <w:rsid w:val="006D6477"/>
    <w:rsid w:val="006D64D6"/>
    <w:rsid w:val="006D7EA8"/>
    <w:rsid w:val="006E0307"/>
    <w:rsid w:val="006E0C1F"/>
    <w:rsid w:val="006E10B7"/>
    <w:rsid w:val="006E2AAD"/>
    <w:rsid w:val="006E30BD"/>
    <w:rsid w:val="006E366E"/>
    <w:rsid w:val="006E3C39"/>
    <w:rsid w:val="006E4881"/>
    <w:rsid w:val="006E4D55"/>
    <w:rsid w:val="006F005A"/>
    <w:rsid w:val="006F14DD"/>
    <w:rsid w:val="006F29F5"/>
    <w:rsid w:val="006F3A4B"/>
    <w:rsid w:val="006F41E7"/>
    <w:rsid w:val="006F637A"/>
    <w:rsid w:val="006F663E"/>
    <w:rsid w:val="006F762D"/>
    <w:rsid w:val="006F7889"/>
    <w:rsid w:val="006F7A34"/>
    <w:rsid w:val="006F7A6E"/>
    <w:rsid w:val="00700B45"/>
    <w:rsid w:val="007028E0"/>
    <w:rsid w:val="00705D7A"/>
    <w:rsid w:val="00705EFC"/>
    <w:rsid w:val="00707A5C"/>
    <w:rsid w:val="00710681"/>
    <w:rsid w:val="0071069C"/>
    <w:rsid w:val="0071380B"/>
    <w:rsid w:val="00713B80"/>
    <w:rsid w:val="00713D4F"/>
    <w:rsid w:val="0071674D"/>
    <w:rsid w:val="00716C6B"/>
    <w:rsid w:val="00716ECE"/>
    <w:rsid w:val="00717EEC"/>
    <w:rsid w:val="00721A7D"/>
    <w:rsid w:val="00722806"/>
    <w:rsid w:val="00722CD4"/>
    <w:rsid w:val="00723E95"/>
    <w:rsid w:val="00724453"/>
    <w:rsid w:val="00725FD9"/>
    <w:rsid w:val="0072626C"/>
    <w:rsid w:val="00730AAF"/>
    <w:rsid w:val="0073119C"/>
    <w:rsid w:val="00731233"/>
    <w:rsid w:val="0073136D"/>
    <w:rsid w:val="00731652"/>
    <w:rsid w:val="00732005"/>
    <w:rsid w:val="007320F0"/>
    <w:rsid w:val="0073482F"/>
    <w:rsid w:val="00734D13"/>
    <w:rsid w:val="007357D0"/>
    <w:rsid w:val="00735AF3"/>
    <w:rsid w:val="007400F3"/>
    <w:rsid w:val="0074089E"/>
    <w:rsid w:val="007414FD"/>
    <w:rsid w:val="007424C6"/>
    <w:rsid w:val="00743814"/>
    <w:rsid w:val="007443CA"/>
    <w:rsid w:val="00744AA2"/>
    <w:rsid w:val="007450DC"/>
    <w:rsid w:val="00745827"/>
    <w:rsid w:val="00745DE2"/>
    <w:rsid w:val="007460E4"/>
    <w:rsid w:val="0074649E"/>
    <w:rsid w:val="00747493"/>
    <w:rsid w:val="0074780A"/>
    <w:rsid w:val="0075109A"/>
    <w:rsid w:val="007514AE"/>
    <w:rsid w:val="00751A10"/>
    <w:rsid w:val="00752D87"/>
    <w:rsid w:val="0075313A"/>
    <w:rsid w:val="00754CB3"/>
    <w:rsid w:val="0075512F"/>
    <w:rsid w:val="00755392"/>
    <w:rsid w:val="00755909"/>
    <w:rsid w:val="007564C7"/>
    <w:rsid w:val="0075676E"/>
    <w:rsid w:val="00756C21"/>
    <w:rsid w:val="007605EE"/>
    <w:rsid w:val="00762F81"/>
    <w:rsid w:val="00767866"/>
    <w:rsid w:val="00771906"/>
    <w:rsid w:val="0077273D"/>
    <w:rsid w:val="0077322C"/>
    <w:rsid w:val="0077539D"/>
    <w:rsid w:val="00775868"/>
    <w:rsid w:val="007776EF"/>
    <w:rsid w:val="0077792A"/>
    <w:rsid w:val="00780F3B"/>
    <w:rsid w:val="00781B39"/>
    <w:rsid w:val="00781B87"/>
    <w:rsid w:val="00782584"/>
    <w:rsid w:val="00782DFB"/>
    <w:rsid w:val="007864E1"/>
    <w:rsid w:val="007871BF"/>
    <w:rsid w:val="00787E4F"/>
    <w:rsid w:val="00790C2C"/>
    <w:rsid w:val="00791A5B"/>
    <w:rsid w:val="00791A70"/>
    <w:rsid w:val="00793A2D"/>
    <w:rsid w:val="00793A62"/>
    <w:rsid w:val="007941BD"/>
    <w:rsid w:val="0079448A"/>
    <w:rsid w:val="007949B3"/>
    <w:rsid w:val="00795176"/>
    <w:rsid w:val="00795F4A"/>
    <w:rsid w:val="00797190"/>
    <w:rsid w:val="007A087B"/>
    <w:rsid w:val="007A1711"/>
    <w:rsid w:val="007A181F"/>
    <w:rsid w:val="007A21EF"/>
    <w:rsid w:val="007A3D91"/>
    <w:rsid w:val="007A49C3"/>
    <w:rsid w:val="007A4CC1"/>
    <w:rsid w:val="007A52A8"/>
    <w:rsid w:val="007A567C"/>
    <w:rsid w:val="007A639E"/>
    <w:rsid w:val="007B0925"/>
    <w:rsid w:val="007B095F"/>
    <w:rsid w:val="007B0FAD"/>
    <w:rsid w:val="007B1317"/>
    <w:rsid w:val="007B29EB"/>
    <w:rsid w:val="007B3774"/>
    <w:rsid w:val="007B3AC7"/>
    <w:rsid w:val="007B4BBB"/>
    <w:rsid w:val="007B65CE"/>
    <w:rsid w:val="007B7248"/>
    <w:rsid w:val="007B73D7"/>
    <w:rsid w:val="007B75C2"/>
    <w:rsid w:val="007C07B1"/>
    <w:rsid w:val="007C155D"/>
    <w:rsid w:val="007C164A"/>
    <w:rsid w:val="007C1EF3"/>
    <w:rsid w:val="007C297F"/>
    <w:rsid w:val="007C32B7"/>
    <w:rsid w:val="007C4038"/>
    <w:rsid w:val="007C4FA2"/>
    <w:rsid w:val="007C5109"/>
    <w:rsid w:val="007C52DC"/>
    <w:rsid w:val="007C70E1"/>
    <w:rsid w:val="007D05D6"/>
    <w:rsid w:val="007D1DAF"/>
    <w:rsid w:val="007D1F81"/>
    <w:rsid w:val="007D2317"/>
    <w:rsid w:val="007D412F"/>
    <w:rsid w:val="007D52DF"/>
    <w:rsid w:val="007D53C7"/>
    <w:rsid w:val="007D5449"/>
    <w:rsid w:val="007D55BF"/>
    <w:rsid w:val="007D5A77"/>
    <w:rsid w:val="007D729A"/>
    <w:rsid w:val="007D775B"/>
    <w:rsid w:val="007D7F7A"/>
    <w:rsid w:val="007E0978"/>
    <w:rsid w:val="007E0FC8"/>
    <w:rsid w:val="007E235B"/>
    <w:rsid w:val="007E3337"/>
    <w:rsid w:val="007E34C8"/>
    <w:rsid w:val="007E368A"/>
    <w:rsid w:val="007E3991"/>
    <w:rsid w:val="007E7C89"/>
    <w:rsid w:val="007F04FF"/>
    <w:rsid w:val="007F1818"/>
    <w:rsid w:val="007F1CDF"/>
    <w:rsid w:val="007F2817"/>
    <w:rsid w:val="007F58A6"/>
    <w:rsid w:val="007F61AB"/>
    <w:rsid w:val="007F6625"/>
    <w:rsid w:val="007F6A42"/>
    <w:rsid w:val="007F6CE7"/>
    <w:rsid w:val="007F75C8"/>
    <w:rsid w:val="00800C22"/>
    <w:rsid w:val="0080130D"/>
    <w:rsid w:val="008022AE"/>
    <w:rsid w:val="00803644"/>
    <w:rsid w:val="00803BD6"/>
    <w:rsid w:val="00803DF3"/>
    <w:rsid w:val="008063DF"/>
    <w:rsid w:val="00807E9C"/>
    <w:rsid w:val="008100CA"/>
    <w:rsid w:val="00810229"/>
    <w:rsid w:val="00810868"/>
    <w:rsid w:val="00810883"/>
    <w:rsid w:val="0081169B"/>
    <w:rsid w:val="00811AA7"/>
    <w:rsid w:val="00813C2B"/>
    <w:rsid w:val="00813D6A"/>
    <w:rsid w:val="00814B56"/>
    <w:rsid w:val="0082035C"/>
    <w:rsid w:val="00821A54"/>
    <w:rsid w:val="008240D3"/>
    <w:rsid w:val="008264D9"/>
    <w:rsid w:val="00826559"/>
    <w:rsid w:val="00827BA9"/>
    <w:rsid w:val="00830036"/>
    <w:rsid w:val="008300A7"/>
    <w:rsid w:val="00830BDB"/>
    <w:rsid w:val="00830F4E"/>
    <w:rsid w:val="00831FF5"/>
    <w:rsid w:val="00833479"/>
    <w:rsid w:val="00834AB7"/>
    <w:rsid w:val="00834E9F"/>
    <w:rsid w:val="00835688"/>
    <w:rsid w:val="008368F0"/>
    <w:rsid w:val="008407AA"/>
    <w:rsid w:val="00840C37"/>
    <w:rsid w:val="00841209"/>
    <w:rsid w:val="00841C28"/>
    <w:rsid w:val="00844161"/>
    <w:rsid w:val="00844541"/>
    <w:rsid w:val="00844DAD"/>
    <w:rsid w:val="00845637"/>
    <w:rsid w:val="0084755E"/>
    <w:rsid w:val="00847A4E"/>
    <w:rsid w:val="00847ED3"/>
    <w:rsid w:val="00852DF5"/>
    <w:rsid w:val="008549DA"/>
    <w:rsid w:val="00856C3B"/>
    <w:rsid w:val="00857270"/>
    <w:rsid w:val="008572E9"/>
    <w:rsid w:val="00857673"/>
    <w:rsid w:val="008578F7"/>
    <w:rsid w:val="00857B67"/>
    <w:rsid w:val="00860010"/>
    <w:rsid w:val="008627BB"/>
    <w:rsid w:val="00867C80"/>
    <w:rsid w:val="00867E82"/>
    <w:rsid w:val="00870C78"/>
    <w:rsid w:val="0087100F"/>
    <w:rsid w:val="00871DE7"/>
    <w:rsid w:val="00872174"/>
    <w:rsid w:val="00872EE2"/>
    <w:rsid w:val="008731A5"/>
    <w:rsid w:val="00874703"/>
    <w:rsid w:val="00875532"/>
    <w:rsid w:val="00875B62"/>
    <w:rsid w:val="0087697B"/>
    <w:rsid w:val="00880050"/>
    <w:rsid w:val="0088088F"/>
    <w:rsid w:val="00880D34"/>
    <w:rsid w:val="00881381"/>
    <w:rsid w:val="0088374F"/>
    <w:rsid w:val="008845FB"/>
    <w:rsid w:val="00884D25"/>
    <w:rsid w:val="00885C12"/>
    <w:rsid w:val="00886D1C"/>
    <w:rsid w:val="0088729A"/>
    <w:rsid w:val="00887735"/>
    <w:rsid w:val="008907CF"/>
    <w:rsid w:val="0089163B"/>
    <w:rsid w:val="00892721"/>
    <w:rsid w:val="00892BA9"/>
    <w:rsid w:val="00892C26"/>
    <w:rsid w:val="00892D92"/>
    <w:rsid w:val="0089356C"/>
    <w:rsid w:val="00893F29"/>
    <w:rsid w:val="00894632"/>
    <w:rsid w:val="0089570B"/>
    <w:rsid w:val="008959BB"/>
    <w:rsid w:val="00896B26"/>
    <w:rsid w:val="00896E0B"/>
    <w:rsid w:val="00896F1C"/>
    <w:rsid w:val="008975B4"/>
    <w:rsid w:val="008A0122"/>
    <w:rsid w:val="008A0A2B"/>
    <w:rsid w:val="008A4A77"/>
    <w:rsid w:val="008A5E29"/>
    <w:rsid w:val="008A6E0C"/>
    <w:rsid w:val="008B015D"/>
    <w:rsid w:val="008B08B2"/>
    <w:rsid w:val="008B32CD"/>
    <w:rsid w:val="008B458A"/>
    <w:rsid w:val="008B4B06"/>
    <w:rsid w:val="008B4C27"/>
    <w:rsid w:val="008B67E6"/>
    <w:rsid w:val="008B6B1D"/>
    <w:rsid w:val="008C0E6B"/>
    <w:rsid w:val="008C1135"/>
    <w:rsid w:val="008C1161"/>
    <w:rsid w:val="008C11C3"/>
    <w:rsid w:val="008C11F5"/>
    <w:rsid w:val="008C3477"/>
    <w:rsid w:val="008C38AA"/>
    <w:rsid w:val="008C4C3C"/>
    <w:rsid w:val="008C565C"/>
    <w:rsid w:val="008C6E3C"/>
    <w:rsid w:val="008C7FEF"/>
    <w:rsid w:val="008D0980"/>
    <w:rsid w:val="008D21D6"/>
    <w:rsid w:val="008D40BC"/>
    <w:rsid w:val="008D531C"/>
    <w:rsid w:val="008D5ECC"/>
    <w:rsid w:val="008D61D1"/>
    <w:rsid w:val="008D6298"/>
    <w:rsid w:val="008D70AC"/>
    <w:rsid w:val="008D7CF7"/>
    <w:rsid w:val="008E21E8"/>
    <w:rsid w:val="008E36EE"/>
    <w:rsid w:val="008E4AB6"/>
    <w:rsid w:val="008E4D7C"/>
    <w:rsid w:val="008E5A59"/>
    <w:rsid w:val="008E5DEE"/>
    <w:rsid w:val="008E6AB2"/>
    <w:rsid w:val="008E7771"/>
    <w:rsid w:val="008F0119"/>
    <w:rsid w:val="008F0AC3"/>
    <w:rsid w:val="008F0B74"/>
    <w:rsid w:val="008F14FD"/>
    <w:rsid w:val="008F1891"/>
    <w:rsid w:val="008F1D67"/>
    <w:rsid w:val="008F1E4D"/>
    <w:rsid w:val="008F1F0C"/>
    <w:rsid w:val="008F39FB"/>
    <w:rsid w:val="008F4862"/>
    <w:rsid w:val="008F4BE0"/>
    <w:rsid w:val="008F4C75"/>
    <w:rsid w:val="008F6434"/>
    <w:rsid w:val="0090052B"/>
    <w:rsid w:val="009010F5"/>
    <w:rsid w:val="009017C9"/>
    <w:rsid w:val="0090220E"/>
    <w:rsid w:val="009028E3"/>
    <w:rsid w:val="00902BF4"/>
    <w:rsid w:val="00903E44"/>
    <w:rsid w:val="00904F8D"/>
    <w:rsid w:val="0090664B"/>
    <w:rsid w:val="0090784A"/>
    <w:rsid w:val="00907A1A"/>
    <w:rsid w:val="00907F77"/>
    <w:rsid w:val="00910C56"/>
    <w:rsid w:val="00910D35"/>
    <w:rsid w:val="00910DD6"/>
    <w:rsid w:val="00911687"/>
    <w:rsid w:val="009134FC"/>
    <w:rsid w:val="00913885"/>
    <w:rsid w:val="00913A01"/>
    <w:rsid w:val="0092010D"/>
    <w:rsid w:val="0092156A"/>
    <w:rsid w:val="0092167C"/>
    <w:rsid w:val="00921819"/>
    <w:rsid w:val="00921AD8"/>
    <w:rsid w:val="00922DC4"/>
    <w:rsid w:val="00922F45"/>
    <w:rsid w:val="009248FC"/>
    <w:rsid w:val="0092592D"/>
    <w:rsid w:val="009260DF"/>
    <w:rsid w:val="00926727"/>
    <w:rsid w:val="009267FC"/>
    <w:rsid w:val="00927E19"/>
    <w:rsid w:val="0093203E"/>
    <w:rsid w:val="009334A3"/>
    <w:rsid w:val="00934015"/>
    <w:rsid w:val="0093409F"/>
    <w:rsid w:val="00934549"/>
    <w:rsid w:val="00934B6F"/>
    <w:rsid w:val="00934E38"/>
    <w:rsid w:val="009364E4"/>
    <w:rsid w:val="00936877"/>
    <w:rsid w:val="00936B2A"/>
    <w:rsid w:val="00940021"/>
    <w:rsid w:val="009425FC"/>
    <w:rsid w:val="00942EF5"/>
    <w:rsid w:val="009431DE"/>
    <w:rsid w:val="00943493"/>
    <w:rsid w:val="00944757"/>
    <w:rsid w:val="009451AD"/>
    <w:rsid w:val="0094586C"/>
    <w:rsid w:val="00946BFB"/>
    <w:rsid w:val="00947332"/>
    <w:rsid w:val="009479A0"/>
    <w:rsid w:val="0095013B"/>
    <w:rsid w:val="00951510"/>
    <w:rsid w:val="0095236B"/>
    <w:rsid w:val="00952C1A"/>
    <w:rsid w:val="00953FF5"/>
    <w:rsid w:val="00954722"/>
    <w:rsid w:val="00955247"/>
    <w:rsid w:val="00956C5C"/>
    <w:rsid w:val="00956EFA"/>
    <w:rsid w:val="009574AE"/>
    <w:rsid w:val="00957D65"/>
    <w:rsid w:val="00960456"/>
    <w:rsid w:val="00961754"/>
    <w:rsid w:val="00961F61"/>
    <w:rsid w:val="0096350A"/>
    <w:rsid w:val="00963B1B"/>
    <w:rsid w:val="00963CE0"/>
    <w:rsid w:val="00966551"/>
    <w:rsid w:val="00966AD1"/>
    <w:rsid w:val="009674F6"/>
    <w:rsid w:val="00970C08"/>
    <w:rsid w:val="00970C13"/>
    <w:rsid w:val="0097194D"/>
    <w:rsid w:val="00971E28"/>
    <w:rsid w:val="00973C75"/>
    <w:rsid w:val="00973EC1"/>
    <w:rsid w:val="0097523B"/>
    <w:rsid w:val="00975AD0"/>
    <w:rsid w:val="009766C0"/>
    <w:rsid w:val="00977A63"/>
    <w:rsid w:val="00980BEB"/>
    <w:rsid w:val="00981B26"/>
    <w:rsid w:val="00981F73"/>
    <w:rsid w:val="00982909"/>
    <w:rsid w:val="009845E0"/>
    <w:rsid w:val="009907B2"/>
    <w:rsid w:val="00991454"/>
    <w:rsid w:val="00991EBF"/>
    <w:rsid w:val="00992B22"/>
    <w:rsid w:val="00994418"/>
    <w:rsid w:val="00994EE1"/>
    <w:rsid w:val="00995968"/>
    <w:rsid w:val="00995CEA"/>
    <w:rsid w:val="009A0361"/>
    <w:rsid w:val="009A045E"/>
    <w:rsid w:val="009A0A09"/>
    <w:rsid w:val="009A1E2D"/>
    <w:rsid w:val="009A5710"/>
    <w:rsid w:val="009A5F35"/>
    <w:rsid w:val="009A6C3F"/>
    <w:rsid w:val="009B13F0"/>
    <w:rsid w:val="009B1CFF"/>
    <w:rsid w:val="009B2281"/>
    <w:rsid w:val="009B2970"/>
    <w:rsid w:val="009B394E"/>
    <w:rsid w:val="009B424B"/>
    <w:rsid w:val="009B4D18"/>
    <w:rsid w:val="009B58D1"/>
    <w:rsid w:val="009B6A61"/>
    <w:rsid w:val="009B71C6"/>
    <w:rsid w:val="009B75C0"/>
    <w:rsid w:val="009B7E98"/>
    <w:rsid w:val="009C0666"/>
    <w:rsid w:val="009C12C4"/>
    <w:rsid w:val="009C1366"/>
    <w:rsid w:val="009C1CC2"/>
    <w:rsid w:val="009C25F4"/>
    <w:rsid w:val="009C36D3"/>
    <w:rsid w:val="009C3FE6"/>
    <w:rsid w:val="009C5B8A"/>
    <w:rsid w:val="009C5C35"/>
    <w:rsid w:val="009C6E49"/>
    <w:rsid w:val="009D0F00"/>
    <w:rsid w:val="009D29DE"/>
    <w:rsid w:val="009D2CB8"/>
    <w:rsid w:val="009D2DD6"/>
    <w:rsid w:val="009D3168"/>
    <w:rsid w:val="009D4CE3"/>
    <w:rsid w:val="009D573E"/>
    <w:rsid w:val="009D6380"/>
    <w:rsid w:val="009D7A92"/>
    <w:rsid w:val="009E07E0"/>
    <w:rsid w:val="009E1B24"/>
    <w:rsid w:val="009E2D52"/>
    <w:rsid w:val="009E34FE"/>
    <w:rsid w:val="009E3CD9"/>
    <w:rsid w:val="009E41B8"/>
    <w:rsid w:val="009E594E"/>
    <w:rsid w:val="009E6643"/>
    <w:rsid w:val="009E668B"/>
    <w:rsid w:val="009E78EE"/>
    <w:rsid w:val="009F03E7"/>
    <w:rsid w:val="009F0499"/>
    <w:rsid w:val="009F1B37"/>
    <w:rsid w:val="009F376A"/>
    <w:rsid w:val="009F7286"/>
    <w:rsid w:val="009F7FA2"/>
    <w:rsid w:val="00A0108D"/>
    <w:rsid w:val="00A013ED"/>
    <w:rsid w:val="00A01CE9"/>
    <w:rsid w:val="00A0202D"/>
    <w:rsid w:val="00A0307C"/>
    <w:rsid w:val="00A04C29"/>
    <w:rsid w:val="00A07157"/>
    <w:rsid w:val="00A07D33"/>
    <w:rsid w:val="00A07FE9"/>
    <w:rsid w:val="00A1080F"/>
    <w:rsid w:val="00A11F88"/>
    <w:rsid w:val="00A12171"/>
    <w:rsid w:val="00A1393D"/>
    <w:rsid w:val="00A13A01"/>
    <w:rsid w:val="00A14248"/>
    <w:rsid w:val="00A211C8"/>
    <w:rsid w:val="00A211FC"/>
    <w:rsid w:val="00A21B55"/>
    <w:rsid w:val="00A22F62"/>
    <w:rsid w:val="00A235A7"/>
    <w:rsid w:val="00A23A74"/>
    <w:rsid w:val="00A23CC4"/>
    <w:rsid w:val="00A24239"/>
    <w:rsid w:val="00A24512"/>
    <w:rsid w:val="00A24A53"/>
    <w:rsid w:val="00A26143"/>
    <w:rsid w:val="00A26414"/>
    <w:rsid w:val="00A2686E"/>
    <w:rsid w:val="00A27803"/>
    <w:rsid w:val="00A30918"/>
    <w:rsid w:val="00A31701"/>
    <w:rsid w:val="00A32859"/>
    <w:rsid w:val="00A33277"/>
    <w:rsid w:val="00A3364A"/>
    <w:rsid w:val="00A34AC8"/>
    <w:rsid w:val="00A36969"/>
    <w:rsid w:val="00A377F2"/>
    <w:rsid w:val="00A37A82"/>
    <w:rsid w:val="00A40262"/>
    <w:rsid w:val="00A414DD"/>
    <w:rsid w:val="00A43407"/>
    <w:rsid w:val="00A43D7F"/>
    <w:rsid w:val="00A45078"/>
    <w:rsid w:val="00A4558A"/>
    <w:rsid w:val="00A46BA1"/>
    <w:rsid w:val="00A46E19"/>
    <w:rsid w:val="00A47A71"/>
    <w:rsid w:val="00A501F5"/>
    <w:rsid w:val="00A505FB"/>
    <w:rsid w:val="00A52634"/>
    <w:rsid w:val="00A52A0F"/>
    <w:rsid w:val="00A53F42"/>
    <w:rsid w:val="00A545F0"/>
    <w:rsid w:val="00A54DDD"/>
    <w:rsid w:val="00A55131"/>
    <w:rsid w:val="00A55308"/>
    <w:rsid w:val="00A55C60"/>
    <w:rsid w:val="00A56E15"/>
    <w:rsid w:val="00A56FEC"/>
    <w:rsid w:val="00A57F73"/>
    <w:rsid w:val="00A60E5C"/>
    <w:rsid w:val="00A61FAF"/>
    <w:rsid w:val="00A61FDD"/>
    <w:rsid w:val="00A633B1"/>
    <w:rsid w:val="00A639EF"/>
    <w:rsid w:val="00A64213"/>
    <w:rsid w:val="00A67503"/>
    <w:rsid w:val="00A677DA"/>
    <w:rsid w:val="00A70A2E"/>
    <w:rsid w:val="00A718EE"/>
    <w:rsid w:val="00A71E71"/>
    <w:rsid w:val="00A7288A"/>
    <w:rsid w:val="00A74A79"/>
    <w:rsid w:val="00A74CCB"/>
    <w:rsid w:val="00A74F2B"/>
    <w:rsid w:val="00A74FE4"/>
    <w:rsid w:val="00A75031"/>
    <w:rsid w:val="00A76520"/>
    <w:rsid w:val="00A76883"/>
    <w:rsid w:val="00A77361"/>
    <w:rsid w:val="00A77DDC"/>
    <w:rsid w:val="00A8072A"/>
    <w:rsid w:val="00A8101C"/>
    <w:rsid w:val="00A8282D"/>
    <w:rsid w:val="00A829CE"/>
    <w:rsid w:val="00A82E6D"/>
    <w:rsid w:val="00A8441C"/>
    <w:rsid w:val="00A86844"/>
    <w:rsid w:val="00A8687B"/>
    <w:rsid w:val="00A87366"/>
    <w:rsid w:val="00A87B2A"/>
    <w:rsid w:val="00A90FE5"/>
    <w:rsid w:val="00A91831"/>
    <w:rsid w:val="00A91B4D"/>
    <w:rsid w:val="00A92E1F"/>
    <w:rsid w:val="00A93D51"/>
    <w:rsid w:val="00A93D59"/>
    <w:rsid w:val="00A94E60"/>
    <w:rsid w:val="00A95C89"/>
    <w:rsid w:val="00A95FAC"/>
    <w:rsid w:val="00A96DB0"/>
    <w:rsid w:val="00A9707E"/>
    <w:rsid w:val="00A97A8F"/>
    <w:rsid w:val="00A97C83"/>
    <w:rsid w:val="00A97DE9"/>
    <w:rsid w:val="00A97EF9"/>
    <w:rsid w:val="00AA1BE4"/>
    <w:rsid w:val="00AA1CC3"/>
    <w:rsid w:val="00AA23F9"/>
    <w:rsid w:val="00AA381A"/>
    <w:rsid w:val="00AA4B64"/>
    <w:rsid w:val="00AA632A"/>
    <w:rsid w:val="00AA6627"/>
    <w:rsid w:val="00AA747B"/>
    <w:rsid w:val="00AB03A5"/>
    <w:rsid w:val="00AB0525"/>
    <w:rsid w:val="00AB07DA"/>
    <w:rsid w:val="00AB1FFA"/>
    <w:rsid w:val="00AB36F5"/>
    <w:rsid w:val="00AB4486"/>
    <w:rsid w:val="00AB6337"/>
    <w:rsid w:val="00AB6D80"/>
    <w:rsid w:val="00AB7396"/>
    <w:rsid w:val="00AB7654"/>
    <w:rsid w:val="00AC05F6"/>
    <w:rsid w:val="00AC1490"/>
    <w:rsid w:val="00AC15ED"/>
    <w:rsid w:val="00AC192B"/>
    <w:rsid w:val="00AC335A"/>
    <w:rsid w:val="00AC3F4D"/>
    <w:rsid w:val="00AC41B1"/>
    <w:rsid w:val="00AC4B1C"/>
    <w:rsid w:val="00AC5425"/>
    <w:rsid w:val="00AC659B"/>
    <w:rsid w:val="00AC67A6"/>
    <w:rsid w:val="00AC6A5F"/>
    <w:rsid w:val="00AC6BDA"/>
    <w:rsid w:val="00AC6C16"/>
    <w:rsid w:val="00AD0B0E"/>
    <w:rsid w:val="00AD152A"/>
    <w:rsid w:val="00AD1FB2"/>
    <w:rsid w:val="00AD28AF"/>
    <w:rsid w:val="00AD2DF4"/>
    <w:rsid w:val="00AD3301"/>
    <w:rsid w:val="00AD340B"/>
    <w:rsid w:val="00AD42AB"/>
    <w:rsid w:val="00AD4BA3"/>
    <w:rsid w:val="00AD51AD"/>
    <w:rsid w:val="00AD6E67"/>
    <w:rsid w:val="00AD708C"/>
    <w:rsid w:val="00AD71DC"/>
    <w:rsid w:val="00AE17FD"/>
    <w:rsid w:val="00AE1E07"/>
    <w:rsid w:val="00AE1EFF"/>
    <w:rsid w:val="00AE2506"/>
    <w:rsid w:val="00AE2633"/>
    <w:rsid w:val="00AE3D8E"/>
    <w:rsid w:val="00AE3E95"/>
    <w:rsid w:val="00AE3FCE"/>
    <w:rsid w:val="00AE48A6"/>
    <w:rsid w:val="00AE6064"/>
    <w:rsid w:val="00AE619E"/>
    <w:rsid w:val="00AE65D5"/>
    <w:rsid w:val="00AE76BC"/>
    <w:rsid w:val="00AF06F1"/>
    <w:rsid w:val="00AF0E64"/>
    <w:rsid w:val="00AF10C0"/>
    <w:rsid w:val="00AF1959"/>
    <w:rsid w:val="00AF3E16"/>
    <w:rsid w:val="00AF47C7"/>
    <w:rsid w:val="00AF573E"/>
    <w:rsid w:val="00AF5774"/>
    <w:rsid w:val="00AF5D2A"/>
    <w:rsid w:val="00AF64D8"/>
    <w:rsid w:val="00AF68EF"/>
    <w:rsid w:val="00B0019B"/>
    <w:rsid w:val="00B02633"/>
    <w:rsid w:val="00B04251"/>
    <w:rsid w:val="00B04694"/>
    <w:rsid w:val="00B047E6"/>
    <w:rsid w:val="00B04AB6"/>
    <w:rsid w:val="00B04B8C"/>
    <w:rsid w:val="00B05BD4"/>
    <w:rsid w:val="00B067BE"/>
    <w:rsid w:val="00B0698E"/>
    <w:rsid w:val="00B07F10"/>
    <w:rsid w:val="00B11C9C"/>
    <w:rsid w:val="00B12027"/>
    <w:rsid w:val="00B12892"/>
    <w:rsid w:val="00B13941"/>
    <w:rsid w:val="00B13A1A"/>
    <w:rsid w:val="00B1530F"/>
    <w:rsid w:val="00B156E5"/>
    <w:rsid w:val="00B159BC"/>
    <w:rsid w:val="00B15D78"/>
    <w:rsid w:val="00B15E99"/>
    <w:rsid w:val="00B17A69"/>
    <w:rsid w:val="00B17C79"/>
    <w:rsid w:val="00B17F2F"/>
    <w:rsid w:val="00B20588"/>
    <w:rsid w:val="00B22B6F"/>
    <w:rsid w:val="00B230B3"/>
    <w:rsid w:val="00B24DB6"/>
    <w:rsid w:val="00B25B37"/>
    <w:rsid w:val="00B2603C"/>
    <w:rsid w:val="00B26AD3"/>
    <w:rsid w:val="00B271A0"/>
    <w:rsid w:val="00B27294"/>
    <w:rsid w:val="00B27CE4"/>
    <w:rsid w:val="00B30DE8"/>
    <w:rsid w:val="00B33C50"/>
    <w:rsid w:val="00B33CDB"/>
    <w:rsid w:val="00B35417"/>
    <w:rsid w:val="00B3599A"/>
    <w:rsid w:val="00B402F5"/>
    <w:rsid w:val="00B425C0"/>
    <w:rsid w:val="00B426BC"/>
    <w:rsid w:val="00B43BBC"/>
    <w:rsid w:val="00B43D08"/>
    <w:rsid w:val="00B43DAF"/>
    <w:rsid w:val="00B44237"/>
    <w:rsid w:val="00B4491F"/>
    <w:rsid w:val="00B45F76"/>
    <w:rsid w:val="00B47FDF"/>
    <w:rsid w:val="00B50BA9"/>
    <w:rsid w:val="00B5161E"/>
    <w:rsid w:val="00B51697"/>
    <w:rsid w:val="00B53148"/>
    <w:rsid w:val="00B54B89"/>
    <w:rsid w:val="00B5538D"/>
    <w:rsid w:val="00B56E37"/>
    <w:rsid w:val="00B57838"/>
    <w:rsid w:val="00B62095"/>
    <w:rsid w:val="00B62D7C"/>
    <w:rsid w:val="00B637ED"/>
    <w:rsid w:val="00B64085"/>
    <w:rsid w:val="00B64F65"/>
    <w:rsid w:val="00B65132"/>
    <w:rsid w:val="00B66279"/>
    <w:rsid w:val="00B6643A"/>
    <w:rsid w:val="00B66476"/>
    <w:rsid w:val="00B67321"/>
    <w:rsid w:val="00B67711"/>
    <w:rsid w:val="00B679A3"/>
    <w:rsid w:val="00B703BE"/>
    <w:rsid w:val="00B71D66"/>
    <w:rsid w:val="00B71EA8"/>
    <w:rsid w:val="00B7210D"/>
    <w:rsid w:val="00B747F1"/>
    <w:rsid w:val="00B83EFF"/>
    <w:rsid w:val="00B83F84"/>
    <w:rsid w:val="00B85DFD"/>
    <w:rsid w:val="00B85F53"/>
    <w:rsid w:val="00B903A8"/>
    <w:rsid w:val="00B91DC1"/>
    <w:rsid w:val="00B92436"/>
    <w:rsid w:val="00B93663"/>
    <w:rsid w:val="00B94C3E"/>
    <w:rsid w:val="00B95EE5"/>
    <w:rsid w:val="00B973D8"/>
    <w:rsid w:val="00B97B0C"/>
    <w:rsid w:val="00B97E47"/>
    <w:rsid w:val="00BA0013"/>
    <w:rsid w:val="00BA08E0"/>
    <w:rsid w:val="00BA0BFF"/>
    <w:rsid w:val="00BA21B8"/>
    <w:rsid w:val="00BA24BB"/>
    <w:rsid w:val="00BA3763"/>
    <w:rsid w:val="00BA3D78"/>
    <w:rsid w:val="00BA4BFA"/>
    <w:rsid w:val="00BA5F6D"/>
    <w:rsid w:val="00BA6394"/>
    <w:rsid w:val="00BA7649"/>
    <w:rsid w:val="00BA77AA"/>
    <w:rsid w:val="00BA784A"/>
    <w:rsid w:val="00BB0038"/>
    <w:rsid w:val="00BB0DA7"/>
    <w:rsid w:val="00BB282B"/>
    <w:rsid w:val="00BB2FE4"/>
    <w:rsid w:val="00BB3166"/>
    <w:rsid w:val="00BB484C"/>
    <w:rsid w:val="00BB4F8E"/>
    <w:rsid w:val="00BB5E6A"/>
    <w:rsid w:val="00BB625B"/>
    <w:rsid w:val="00BB7E62"/>
    <w:rsid w:val="00BB7F5D"/>
    <w:rsid w:val="00BC0A86"/>
    <w:rsid w:val="00BC2AB9"/>
    <w:rsid w:val="00BC2AF8"/>
    <w:rsid w:val="00BC2BE9"/>
    <w:rsid w:val="00BC376C"/>
    <w:rsid w:val="00BC51EC"/>
    <w:rsid w:val="00BC54BC"/>
    <w:rsid w:val="00BC5730"/>
    <w:rsid w:val="00BC5CB2"/>
    <w:rsid w:val="00BC7059"/>
    <w:rsid w:val="00BC76CD"/>
    <w:rsid w:val="00BC7766"/>
    <w:rsid w:val="00BD0FE8"/>
    <w:rsid w:val="00BD108E"/>
    <w:rsid w:val="00BD16ED"/>
    <w:rsid w:val="00BD19E2"/>
    <w:rsid w:val="00BD23C0"/>
    <w:rsid w:val="00BD34E5"/>
    <w:rsid w:val="00BD670D"/>
    <w:rsid w:val="00BD6A92"/>
    <w:rsid w:val="00BD6A9E"/>
    <w:rsid w:val="00BD6DB6"/>
    <w:rsid w:val="00BD72E0"/>
    <w:rsid w:val="00BD7CA5"/>
    <w:rsid w:val="00BD7E70"/>
    <w:rsid w:val="00BE094C"/>
    <w:rsid w:val="00BE37D6"/>
    <w:rsid w:val="00BE3A5D"/>
    <w:rsid w:val="00BE418B"/>
    <w:rsid w:val="00BE5866"/>
    <w:rsid w:val="00BE65E2"/>
    <w:rsid w:val="00BF1555"/>
    <w:rsid w:val="00BF1746"/>
    <w:rsid w:val="00BF202F"/>
    <w:rsid w:val="00BF23A1"/>
    <w:rsid w:val="00BF407B"/>
    <w:rsid w:val="00BF5A57"/>
    <w:rsid w:val="00BF61FF"/>
    <w:rsid w:val="00BF6EC0"/>
    <w:rsid w:val="00BF7C86"/>
    <w:rsid w:val="00C00218"/>
    <w:rsid w:val="00C00BED"/>
    <w:rsid w:val="00C016B2"/>
    <w:rsid w:val="00C017A6"/>
    <w:rsid w:val="00C023B0"/>
    <w:rsid w:val="00C038ED"/>
    <w:rsid w:val="00C03DAC"/>
    <w:rsid w:val="00C040F1"/>
    <w:rsid w:val="00C05120"/>
    <w:rsid w:val="00C0578C"/>
    <w:rsid w:val="00C06BD3"/>
    <w:rsid w:val="00C06E45"/>
    <w:rsid w:val="00C06F1B"/>
    <w:rsid w:val="00C07817"/>
    <w:rsid w:val="00C07F44"/>
    <w:rsid w:val="00C101BE"/>
    <w:rsid w:val="00C1220B"/>
    <w:rsid w:val="00C12EE4"/>
    <w:rsid w:val="00C147C9"/>
    <w:rsid w:val="00C14B8D"/>
    <w:rsid w:val="00C156DD"/>
    <w:rsid w:val="00C162BD"/>
    <w:rsid w:val="00C16C78"/>
    <w:rsid w:val="00C2023E"/>
    <w:rsid w:val="00C22094"/>
    <w:rsid w:val="00C22E3D"/>
    <w:rsid w:val="00C24628"/>
    <w:rsid w:val="00C2606D"/>
    <w:rsid w:val="00C2622B"/>
    <w:rsid w:val="00C26472"/>
    <w:rsid w:val="00C26546"/>
    <w:rsid w:val="00C27B55"/>
    <w:rsid w:val="00C27BF2"/>
    <w:rsid w:val="00C27CD4"/>
    <w:rsid w:val="00C31768"/>
    <w:rsid w:val="00C31C4E"/>
    <w:rsid w:val="00C3206B"/>
    <w:rsid w:val="00C32161"/>
    <w:rsid w:val="00C32A2D"/>
    <w:rsid w:val="00C3345F"/>
    <w:rsid w:val="00C343DF"/>
    <w:rsid w:val="00C36C7A"/>
    <w:rsid w:val="00C36FE1"/>
    <w:rsid w:val="00C3796D"/>
    <w:rsid w:val="00C37E41"/>
    <w:rsid w:val="00C43135"/>
    <w:rsid w:val="00C43A58"/>
    <w:rsid w:val="00C44A32"/>
    <w:rsid w:val="00C45ED9"/>
    <w:rsid w:val="00C4639C"/>
    <w:rsid w:val="00C463A3"/>
    <w:rsid w:val="00C46A37"/>
    <w:rsid w:val="00C46CCE"/>
    <w:rsid w:val="00C4736D"/>
    <w:rsid w:val="00C47974"/>
    <w:rsid w:val="00C4799D"/>
    <w:rsid w:val="00C51FAF"/>
    <w:rsid w:val="00C521B2"/>
    <w:rsid w:val="00C52E09"/>
    <w:rsid w:val="00C53049"/>
    <w:rsid w:val="00C53A5F"/>
    <w:rsid w:val="00C53C5A"/>
    <w:rsid w:val="00C53DAE"/>
    <w:rsid w:val="00C552FE"/>
    <w:rsid w:val="00C5666C"/>
    <w:rsid w:val="00C568E3"/>
    <w:rsid w:val="00C56B5A"/>
    <w:rsid w:val="00C56DB0"/>
    <w:rsid w:val="00C577AD"/>
    <w:rsid w:val="00C61844"/>
    <w:rsid w:val="00C62472"/>
    <w:rsid w:val="00C633F8"/>
    <w:rsid w:val="00C639D3"/>
    <w:rsid w:val="00C64901"/>
    <w:rsid w:val="00C652BB"/>
    <w:rsid w:val="00C678DF"/>
    <w:rsid w:val="00C72B6E"/>
    <w:rsid w:val="00C747C6"/>
    <w:rsid w:val="00C75D66"/>
    <w:rsid w:val="00C7628B"/>
    <w:rsid w:val="00C777E6"/>
    <w:rsid w:val="00C800CF"/>
    <w:rsid w:val="00C80360"/>
    <w:rsid w:val="00C81B8F"/>
    <w:rsid w:val="00C838DB"/>
    <w:rsid w:val="00C85718"/>
    <w:rsid w:val="00C86457"/>
    <w:rsid w:val="00C90845"/>
    <w:rsid w:val="00C90F28"/>
    <w:rsid w:val="00C91349"/>
    <w:rsid w:val="00C91564"/>
    <w:rsid w:val="00C91752"/>
    <w:rsid w:val="00C9185B"/>
    <w:rsid w:val="00C92EBE"/>
    <w:rsid w:val="00C947F4"/>
    <w:rsid w:val="00C94EB4"/>
    <w:rsid w:val="00C9635F"/>
    <w:rsid w:val="00C96B2E"/>
    <w:rsid w:val="00C975F3"/>
    <w:rsid w:val="00C97774"/>
    <w:rsid w:val="00CA1F58"/>
    <w:rsid w:val="00CA3D6B"/>
    <w:rsid w:val="00CA42BA"/>
    <w:rsid w:val="00CA6977"/>
    <w:rsid w:val="00CA6BA5"/>
    <w:rsid w:val="00CB1304"/>
    <w:rsid w:val="00CB13E6"/>
    <w:rsid w:val="00CB1548"/>
    <w:rsid w:val="00CB408A"/>
    <w:rsid w:val="00CB4956"/>
    <w:rsid w:val="00CB5659"/>
    <w:rsid w:val="00CB584A"/>
    <w:rsid w:val="00CB5F05"/>
    <w:rsid w:val="00CB657C"/>
    <w:rsid w:val="00CB70C8"/>
    <w:rsid w:val="00CB7970"/>
    <w:rsid w:val="00CB7DFD"/>
    <w:rsid w:val="00CC0750"/>
    <w:rsid w:val="00CC104A"/>
    <w:rsid w:val="00CC1A7C"/>
    <w:rsid w:val="00CC1C0F"/>
    <w:rsid w:val="00CC1CCE"/>
    <w:rsid w:val="00CC1E76"/>
    <w:rsid w:val="00CC32AE"/>
    <w:rsid w:val="00CD0596"/>
    <w:rsid w:val="00CD155E"/>
    <w:rsid w:val="00CD4FB1"/>
    <w:rsid w:val="00CD5C2F"/>
    <w:rsid w:val="00CD75B1"/>
    <w:rsid w:val="00CD7FB2"/>
    <w:rsid w:val="00CE0382"/>
    <w:rsid w:val="00CE2771"/>
    <w:rsid w:val="00CE3330"/>
    <w:rsid w:val="00CE3B45"/>
    <w:rsid w:val="00CE3DA7"/>
    <w:rsid w:val="00CE3E62"/>
    <w:rsid w:val="00CE46E5"/>
    <w:rsid w:val="00CE4A15"/>
    <w:rsid w:val="00CE4E64"/>
    <w:rsid w:val="00CE7C9E"/>
    <w:rsid w:val="00CF02DC"/>
    <w:rsid w:val="00CF0511"/>
    <w:rsid w:val="00CF1E04"/>
    <w:rsid w:val="00CF1E85"/>
    <w:rsid w:val="00CF2FBD"/>
    <w:rsid w:val="00CF385C"/>
    <w:rsid w:val="00CF440F"/>
    <w:rsid w:val="00CF5013"/>
    <w:rsid w:val="00D00356"/>
    <w:rsid w:val="00D00414"/>
    <w:rsid w:val="00D00601"/>
    <w:rsid w:val="00D01290"/>
    <w:rsid w:val="00D01A28"/>
    <w:rsid w:val="00D0252C"/>
    <w:rsid w:val="00D028C5"/>
    <w:rsid w:val="00D039D7"/>
    <w:rsid w:val="00D03DC8"/>
    <w:rsid w:val="00D052B8"/>
    <w:rsid w:val="00D05956"/>
    <w:rsid w:val="00D06639"/>
    <w:rsid w:val="00D06BAA"/>
    <w:rsid w:val="00D10A64"/>
    <w:rsid w:val="00D10AF5"/>
    <w:rsid w:val="00D13C23"/>
    <w:rsid w:val="00D14DA1"/>
    <w:rsid w:val="00D150D3"/>
    <w:rsid w:val="00D17551"/>
    <w:rsid w:val="00D17FCB"/>
    <w:rsid w:val="00D208A8"/>
    <w:rsid w:val="00D2173F"/>
    <w:rsid w:val="00D229F5"/>
    <w:rsid w:val="00D23775"/>
    <w:rsid w:val="00D2417F"/>
    <w:rsid w:val="00D25FAC"/>
    <w:rsid w:val="00D2687B"/>
    <w:rsid w:val="00D26CDD"/>
    <w:rsid w:val="00D27215"/>
    <w:rsid w:val="00D300BC"/>
    <w:rsid w:val="00D31210"/>
    <w:rsid w:val="00D31426"/>
    <w:rsid w:val="00D31E17"/>
    <w:rsid w:val="00D3283D"/>
    <w:rsid w:val="00D339BA"/>
    <w:rsid w:val="00D3499E"/>
    <w:rsid w:val="00D356CD"/>
    <w:rsid w:val="00D368A4"/>
    <w:rsid w:val="00D369D6"/>
    <w:rsid w:val="00D40012"/>
    <w:rsid w:val="00D420EB"/>
    <w:rsid w:val="00D42E51"/>
    <w:rsid w:val="00D44050"/>
    <w:rsid w:val="00D44FF0"/>
    <w:rsid w:val="00D46EAE"/>
    <w:rsid w:val="00D47292"/>
    <w:rsid w:val="00D472AE"/>
    <w:rsid w:val="00D47735"/>
    <w:rsid w:val="00D5224A"/>
    <w:rsid w:val="00D534BE"/>
    <w:rsid w:val="00D540C8"/>
    <w:rsid w:val="00D54176"/>
    <w:rsid w:val="00D54186"/>
    <w:rsid w:val="00D548F9"/>
    <w:rsid w:val="00D567C6"/>
    <w:rsid w:val="00D577FE"/>
    <w:rsid w:val="00D603FB"/>
    <w:rsid w:val="00D6394C"/>
    <w:rsid w:val="00D64E18"/>
    <w:rsid w:val="00D65242"/>
    <w:rsid w:val="00D659DF"/>
    <w:rsid w:val="00D65AB3"/>
    <w:rsid w:val="00D65F67"/>
    <w:rsid w:val="00D6649E"/>
    <w:rsid w:val="00D7010B"/>
    <w:rsid w:val="00D705D6"/>
    <w:rsid w:val="00D72929"/>
    <w:rsid w:val="00D729A6"/>
    <w:rsid w:val="00D72E38"/>
    <w:rsid w:val="00D74D08"/>
    <w:rsid w:val="00D74EEE"/>
    <w:rsid w:val="00D758F1"/>
    <w:rsid w:val="00D76C18"/>
    <w:rsid w:val="00D76E21"/>
    <w:rsid w:val="00D77528"/>
    <w:rsid w:val="00D800B7"/>
    <w:rsid w:val="00D80618"/>
    <w:rsid w:val="00D821B1"/>
    <w:rsid w:val="00D8345F"/>
    <w:rsid w:val="00D8509B"/>
    <w:rsid w:val="00D8552C"/>
    <w:rsid w:val="00D85D8B"/>
    <w:rsid w:val="00D862A0"/>
    <w:rsid w:val="00D864C9"/>
    <w:rsid w:val="00D8689F"/>
    <w:rsid w:val="00D86E1B"/>
    <w:rsid w:val="00D87FA0"/>
    <w:rsid w:val="00D93DF1"/>
    <w:rsid w:val="00D950A6"/>
    <w:rsid w:val="00D96453"/>
    <w:rsid w:val="00D9707E"/>
    <w:rsid w:val="00DA0A33"/>
    <w:rsid w:val="00DA1592"/>
    <w:rsid w:val="00DA1EA7"/>
    <w:rsid w:val="00DA298B"/>
    <w:rsid w:val="00DA2EF2"/>
    <w:rsid w:val="00DA30F0"/>
    <w:rsid w:val="00DA386E"/>
    <w:rsid w:val="00DA39D7"/>
    <w:rsid w:val="00DA458A"/>
    <w:rsid w:val="00DA48BA"/>
    <w:rsid w:val="00DA4EA1"/>
    <w:rsid w:val="00DA4F0F"/>
    <w:rsid w:val="00DA5029"/>
    <w:rsid w:val="00DA531D"/>
    <w:rsid w:val="00DA7ADE"/>
    <w:rsid w:val="00DA7B8F"/>
    <w:rsid w:val="00DB019D"/>
    <w:rsid w:val="00DB1925"/>
    <w:rsid w:val="00DB5070"/>
    <w:rsid w:val="00DB5EB4"/>
    <w:rsid w:val="00DB6026"/>
    <w:rsid w:val="00DB788D"/>
    <w:rsid w:val="00DB7CEF"/>
    <w:rsid w:val="00DC08CC"/>
    <w:rsid w:val="00DC09BD"/>
    <w:rsid w:val="00DC1AF9"/>
    <w:rsid w:val="00DC267D"/>
    <w:rsid w:val="00DC294A"/>
    <w:rsid w:val="00DC4D14"/>
    <w:rsid w:val="00DC5C91"/>
    <w:rsid w:val="00DD025F"/>
    <w:rsid w:val="00DD09E0"/>
    <w:rsid w:val="00DD0FB4"/>
    <w:rsid w:val="00DD15F9"/>
    <w:rsid w:val="00DD39C7"/>
    <w:rsid w:val="00DD3CED"/>
    <w:rsid w:val="00DD52BA"/>
    <w:rsid w:val="00DD551E"/>
    <w:rsid w:val="00DD5CB4"/>
    <w:rsid w:val="00DD6052"/>
    <w:rsid w:val="00DD64A4"/>
    <w:rsid w:val="00DD70B8"/>
    <w:rsid w:val="00DD72C7"/>
    <w:rsid w:val="00DD73E5"/>
    <w:rsid w:val="00DE0B98"/>
    <w:rsid w:val="00DE1901"/>
    <w:rsid w:val="00DE381C"/>
    <w:rsid w:val="00DE4728"/>
    <w:rsid w:val="00DE4C38"/>
    <w:rsid w:val="00DE541D"/>
    <w:rsid w:val="00DE5458"/>
    <w:rsid w:val="00DE593D"/>
    <w:rsid w:val="00DF2023"/>
    <w:rsid w:val="00DF3A2C"/>
    <w:rsid w:val="00DF3BEB"/>
    <w:rsid w:val="00DF4CE3"/>
    <w:rsid w:val="00DF52F5"/>
    <w:rsid w:val="00DF53CE"/>
    <w:rsid w:val="00DF5DDE"/>
    <w:rsid w:val="00DF6376"/>
    <w:rsid w:val="00E0106A"/>
    <w:rsid w:val="00E03130"/>
    <w:rsid w:val="00E03658"/>
    <w:rsid w:val="00E03F18"/>
    <w:rsid w:val="00E04F42"/>
    <w:rsid w:val="00E071BF"/>
    <w:rsid w:val="00E07E95"/>
    <w:rsid w:val="00E1006B"/>
    <w:rsid w:val="00E107CC"/>
    <w:rsid w:val="00E10CB3"/>
    <w:rsid w:val="00E1134E"/>
    <w:rsid w:val="00E11935"/>
    <w:rsid w:val="00E12D01"/>
    <w:rsid w:val="00E132B6"/>
    <w:rsid w:val="00E1359D"/>
    <w:rsid w:val="00E14F77"/>
    <w:rsid w:val="00E15110"/>
    <w:rsid w:val="00E15552"/>
    <w:rsid w:val="00E168C6"/>
    <w:rsid w:val="00E20579"/>
    <w:rsid w:val="00E21476"/>
    <w:rsid w:val="00E21F73"/>
    <w:rsid w:val="00E22E4F"/>
    <w:rsid w:val="00E23F97"/>
    <w:rsid w:val="00E25E1F"/>
    <w:rsid w:val="00E27577"/>
    <w:rsid w:val="00E275FA"/>
    <w:rsid w:val="00E276A4"/>
    <w:rsid w:val="00E27B15"/>
    <w:rsid w:val="00E27DF9"/>
    <w:rsid w:val="00E30925"/>
    <w:rsid w:val="00E31662"/>
    <w:rsid w:val="00E3190A"/>
    <w:rsid w:val="00E33236"/>
    <w:rsid w:val="00E33D12"/>
    <w:rsid w:val="00E342E3"/>
    <w:rsid w:val="00E3671E"/>
    <w:rsid w:val="00E368CE"/>
    <w:rsid w:val="00E37E43"/>
    <w:rsid w:val="00E440A5"/>
    <w:rsid w:val="00E440A8"/>
    <w:rsid w:val="00E44115"/>
    <w:rsid w:val="00E446DE"/>
    <w:rsid w:val="00E461C3"/>
    <w:rsid w:val="00E46D82"/>
    <w:rsid w:val="00E474F7"/>
    <w:rsid w:val="00E4751B"/>
    <w:rsid w:val="00E51D57"/>
    <w:rsid w:val="00E5203B"/>
    <w:rsid w:val="00E527AC"/>
    <w:rsid w:val="00E535DC"/>
    <w:rsid w:val="00E543EE"/>
    <w:rsid w:val="00E545E9"/>
    <w:rsid w:val="00E5579E"/>
    <w:rsid w:val="00E55E83"/>
    <w:rsid w:val="00E565CC"/>
    <w:rsid w:val="00E570CD"/>
    <w:rsid w:val="00E5744F"/>
    <w:rsid w:val="00E576F4"/>
    <w:rsid w:val="00E62FCC"/>
    <w:rsid w:val="00E6356C"/>
    <w:rsid w:val="00E64B94"/>
    <w:rsid w:val="00E64FB7"/>
    <w:rsid w:val="00E65CF2"/>
    <w:rsid w:val="00E66F7A"/>
    <w:rsid w:val="00E7108D"/>
    <w:rsid w:val="00E723D2"/>
    <w:rsid w:val="00E730CC"/>
    <w:rsid w:val="00E74ABD"/>
    <w:rsid w:val="00E754C9"/>
    <w:rsid w:val="00E76130"/>
    <w:rsid w:val="00E77380"/>
    <w:rsid w:val="00E801FE"/>
    <w:rsid w:val="00E80D15"/>
    <w:rsid w:val="00E80D1F"/>
    <w:rsid w:val="00E84670"/>
    <w:rsid w:val="00E84C19"/>
    <w:rsid w:val="00E84C59"/>
    <w:rsid w:val="00E85E67"/>
    <w:rsid w:val="00E866EA"/>
    <w:rsid w:val="00E86AD5"/>
    <w:rsid w:val="00E87EC6"/>
    <w:rsid w:val="00E900C5"/>
    <w:rsid w:val="00E90227"/>
    <w:rsid w:val="00E904C0"/>
    <w:rsid w:val="00E90E6B"/>
    <w:rsid w:val="00E91232"/>
    <w:rsid w:val="00E91C22"/>
    <w:rsid w:val="00E9355C"/>
    <w:rsid w:val="00E93DEC"/>
    <w:rsid w:val="00E9417B"/>
    <w:rsid w:val="00E94519"/>
    <w:rsid w:val="00E953FC"/>
    <w:rsid w:val="00E95943"/>
    <w:rsid w:val="00E967AD"/>
    <w:rsid w:val="00E97114"/>
    <w:rsid w:val="00EA087D"/>
    <w:rsid w:val="00EA0D9E"/>
    <w:rsid w:val="00EA1929"/>
    <w:rsid w:val="00EA3197"/>
    <w:rsid w:val="00EA5F63"/>
    <w:rsid w:val="00EA71E8"/>
    <w:rsid w:val="00EA7B69"/>
    <w:rsid w:val="00EB0328"/>
    <w:rsid w:val="00EB0EE4"/>
    <w:rsid w:val="00EB0F63"/>
    <w:rsid w:val="00EB1D16"/>
    <w:rsid w:val="00EB2ECA"/>
    <w:rsid w:val="00EB3694"/>
    <w:rsid w:val="00EB37E9"/>
    <w:rsid w:val="00EB3FA6"/>
    <w:rsid w:val="00EB44E0"/>
    <w:rsid w:val="00EB49C4"/>
    <w:rsid w:val="00EB657B"/>
    <w:rsid w:val="00EC02F0"/>
    <w:rsid w:val="00EC1AB4"/>
    <w:rsid w:val="00EC480C"/>
    <w:rsid w:val="00EC50CF"/>
    <w:rsid w:val="00EC5EE4"/>
    <w:rsid w:val="00EC6427"/>
    <w:rsid w:val="00EC67D9"/>
    <w:rsid w:val="00EC6F84"/>
    <w:rsid w:val="00EC7711"/>
    <w:rsid w:val="00EC7B25"/>
    <w:rsid w:val="00ED220D"/>
    <w:rsid w:val="00ED289B"/>
    <w:rsid w:val="00ED3CCB"/>
    <w:rsid w:val="00ED4429"/>
    <w:rsid w:val="00ED4952"/>
    <w:rsid w:val="00ED5074"/>
    <w:rsid w:val="00ED5573"/>
    <w:rsid w:val="00ED59E4"/>
    <w:rsid w:val="00ED624F"/>
    <w:rsid w:val="00EE1080"/>
    <w:rsid w:val="00EE12F8"/>
    <w:rsid w:val="00EE1811"/>
    <w:rsid w:val="00EE1D67"/>
    <w:rsid w:val="00EE2322"/>
    <w:rsid w:val="00EE264B"/>
    <w:rsid w:val="00EE326E"/>
    <w:rsid w:val="00EE372C"/>
    <w:rsid w:val="00EE40D1"/>
    <w:rsid w:val="00EE44BF"/>
    <w:rsid w:val="00EE4706"/>
    <w:rsid w:val="00EE6081"/>
    <w:rsid w:val="00EE68DF"/>
    <w:rsid w:val="00EE78C1"/>
    <w:rsid w:val="00EE7DBF"/>
    <w:rsid w:val="00EF19E7"/>
    <w:rsid w:val="00EF1F50"/>
    <w:rsid w:val="00EF22AB"/>
    <w:rsid w:val="00EF27B6"/>
    <w:rsid w:val="00EF2B0F"/>
    <w:rsid w:val="00EF32CD"/>
    <w:rsid w:val="00EF3F67"/>
    <w:rsid w:val="00EF5CE3"/>
    <w:rsid w:val="00EF60F3"/>
    <w:rsid w:val="00EF6162"/>
    <w:rsid w:val="00EF6DED"/>
    <w:rsid w:val="00F004F4"/>
    <w:rsid w:val="00F0051D"/>
    <w:rsid w:val="00F00DBD"/>
    <w:rsid w:val="00F0181A"/>
    <w:rsid w:val="00F018AC"/>
    <w:rsid w:val="00F0245D"/>
    <w:rsid w:val="00F04A7C"/>
    <w:rsid w:val="00F04B00"/>
    <w:rsid w:val="00F05458"/>
    <w:rsid w:val="00F057DB"/>
    <w:rsid w:val="00F06A8A"/>
    <w:rsid w:val="00F06B4D"/>
    <w:rsid w:val="00F07B77"/>
    <w:rsid w:val="00F102EA"/>
    <w:rsid w:val="00F10727"/>
    <w:rsid w:val="00F10881"/>
    <w:rsid w:val="00F1107A"/>
    <w:rsid w:val="00F11332"/>
    <w:rsid w:val="00F1175E"/>
    <w:rsid w:val="00F1302A"/>
    <w:rsid w:val="00F13AED"/>
    <w:rsid w:val="00F13E0A"/>
    <w:rsid w:val="00F14E2C"/>
    <w:rsid w:val="00F1624D"/>
    <w:rsid w:val="00F20E70"/>
    <w:rsid w:val="00F21822"/>
    <w:rsid w:val="00F21B6A"/>
    <w:rsid w:val="00F22464"/>
    <w:rsid w:val="00F23152"/>
    <w:rsid w:val="00F23A6E"/>
    <w:rsid w:val="00F23CF6"/>
    <w:rsid w:val="00F23F47"/>
    <w:rsid w:val="00F23FA8"/>
    <w:rsid w:val="00F24707"/>
    <w:rsid w:val="00F257C5"/>
    <w:rsid w:val="00F25880"/>
    <w:rsid w:val="00F26FBF"/>
    <w:rsid w:val="00F31B80"/>
    <w:rsid w:val="00F33398"/>
    <w:rsid w:val="00F338B2"/>
    <w:rsid w:val="00F33A48"/>
    <w:rsid w:val="00F36F54"/>
    <w:rsid w:val="00F406D1"/>
    <w:rsid w:val="00F40D25"/>
    <w:rsid w:val="00F4116A"/>
    <w:rsid w:val="00F41AA6"/>
    <w:rsid w:val="00F426B8"/>
    <w:rsid w:val="00F446AC"/>
    <w:rsid w:val="00F46D8D"/>
    <w:rsid w:val="00F4753A"/>
    <w:rsid w:val="00F50AC9"/>
    <w:rsid w:val="00F51203"/>
    <w:rsid w:val="00F51367"/>
    <w:rsid w:val="00F524C8"/>
    <w:rsid w:val="00F53D54"/>
    <w:rsid w:val="00F53EED"/>
    <w:rsid w:val="00F541FF"/>
    <w:rsid w:val="00F54301"/>
    <w:rsid w:val="00F545A4"/>
    <w:rsid w:val="00F54B9B"/>
    <w:rsid w:val="00F55462"/>
    <w:rsid w:val="00F5546D"/>
    <w:rsid w:val="00F55588"/>
    <w:rsid w:val="00F5623F"/>
    <w:rsid w:val="00F61062"/>
    <w:rsid w:val="00F616DC"/>
    <w:rsid w:val="00F618F2"/>
    <w:rsid w:val="00F62FFB"/>
    <w:rsid w:val="00F63A04"/>
    <w:rsid w:val="00F63FA2"/>
    <w:rsid w:val="00F64243"/>
    <w:rsid w:val="00F64FC1"/>
    <w:rsid w:val="00F65AF4"/>
    <w:rsid w:val="00F6691E"/>
    <w:rsid w:val="00F673E5"/>
    <w:rsid w:val="00F70910"/>
    <w:rsid w:val="00F70B4F"/>
    <w:rsid w:val="00F710BD"/>
    <w:rsid w:val="00F71C83"/>
    <w:rsid w:val="00F7247A"/>
    <w:rsid w:val="00F72F96"/>
    <w:rsid w:val="00F731FE"/>
    <w:rsid w:val="00F736EF"/>
    <w:rsid w:val="00F74140"/>
    <w:rsid w:val="00F741EE"/>
    <w:rsid w:val="00F74921"/>
    <w:rsid w:val="00F74F7E"/>
    <w:rsid w:val="00F7537C"/>
    <w:rsid w:val="00F75745"/>
    <w:rsid w:val="00F8057D"/>
    <w:rsid w:val="00F83363"/>
    <w:rsid w:val="00F836E1"/>
    <w:rsid w:val="00F847C4"/>
    <w:rsid w:val="00F84CCC"/>
    <w:rsid w:val="00F863AA"/>
    <w:rsid w:val="00F8697D"/>
    <w:rsid w:val="00F86BAC"/>
    <w:rsid w:val="00F87266"/>
    <w:rsid w:val="00F8793E"/>
    <w:rsid w:val="00F879AD"/>
    <w:rsid w:val="00F87DBD"/>
    <w:rsid w:val="00F90298"/>
    <w:rsid w:val="00F9101A"/>
    <w:rsid w:val="00F91373"/>
    <w:rsid w:val="00F913E9"/>
    <w:rsid w:val="00F91636"/>
    <w:rsid w:val="00F91D7B"/>
    <w:rsid w:val="00F92F4A"/>
    <w:rsid w:val="00F94479"/>
    <w:rsid w:val="00F966D4"/>
    <w:rsid w:val="00F97635"/>
    <w:rsid w:val="00FA1943"/>
    <w:rsid w:val="00FA1BFC"/>
    <w:rsid w:val="00FA1F4A"/>
    <w:rsid w:val="00FA2ABC"/>
    <w:rsid w:val="00FA2BEC"/>
    <w:rsid w:val="00FA2D1E"/>
    <w:rsid w:val="00FA3AB4"/>
    <w:rsid w:val="00FA4185"/>
    <w:rsid w:val="00FA43CA"/>
    <w:rsid w:val="00FA4460"/>
    <w:rsid w:val="00FA5828"/>
    <w:rsid w:val="00FA61C4"/>
    <w:rsid w:val="00FA6F1A"/>
    <w:rsid w:val="00FA7036"/>
    <w:rsid w:val="00FB062C"/>
    <w:rsid w:val="00FB0B85"/>
    <w:rsid w:val="00FB27C1"/>
    <w:rsid w:val="00FB3056"/>
    <w:rsid w:val="00FB490A"/>
    <w:rsid w:val="00FB585F"/>
    <w:rsid w:val="00FB5887"/>
    <w:rsid w:val="00FB615F"/>
    <w:rsid w:val="00FC10E5"/>
    <w:rsid w:val="00FC2765"/>
    <w:rsid w:val="00FC4304"/>
    <w:rsid w:val="00FC45B3"/>
    <w:rsid w:val="00FC512D"/>
    <w:rsid w:val="00FC521D"/>
    <w:rsid w:val="00FC59A9"/>
    <w:rsid w:val="00FC5A96"/>
    <w:rsid w:val="00FC6CF5"/>
    <w:rsid w:val="00FC739E"/>
    <w:rsid w:val="00FC7B0C"/>
    <w:rsid w:val="00FD21F1"/>
    <w:rsid w:val="00FD372C"/>
    <w:rsid w:val="00FD775B"/>
    <w:rsid w:val="00FE060E"/>
    <w:rsid w:val="00FE0826"/>
    <w:rsid w:val="00FE1B90"/>
    <w:rsid w:val="00FE1C10"/>
    <w:rsid w:val="00FE25DA"/>
    <w:rsid w:val="00FE2F82"/>
    <w:rsid w:val="00FE340F"/>
    <w:rsid w:val="00FE37F6"/>
    <w:rsid w:val="00FE3B28"/>
    <w:rsid w:val="00FE4C77"/>
    <w:rsid w:val="00FE77B5"/>
    <w:rsid w:val="00FF02CE"/>
    <w:rsid w:val="00FF1DE8"/>
    <w:rsid w:val="00FF2D19"/>
    <w:rsid w:val="00FF34AB"/>
    <w:rsid w:val="00FF35FD"/>
    <w:rsid w:val="00FF3989"/>
    <w:rsid w:val="00FF432C"/>
    <w:rsid w:val="00FF5183"/>
    <w:rsid w:val="00FF5231"/>
    <w:rsid w:val="00FF53D7"/>
    <w:rsid w:val="00FF62EF"/>
    <w:rsid w:val="00FF65A3"/>
    <w:rsid w:val="00FF7EB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0" w:defUnhideWhenUsed="0" w:defQFormat="0" w:count="2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semiHidden="1" w:qFormat="1"/>
    <w:lsdException w:name="Title" w:qFormat="1"/>
    <w:lsdException w:name="Default Paragraph Font" w:uiPriority="1"/>
    <w:lsdException w:name="Subtitle" w:qFormat="1"/>
    <w:lsdException w:name="Strong" w:qFormat="1"/>
    <w:lsdException w:name="Emphasis" w:qFormat="1"/>
    <w:lsdException w:name="HTML Top of Form" w:uiPriority="0"/>
    <w:lsdException w:name="HTML Bottom of Form" w:uiPriority="0"/>
    <w:lsdException w:name="Table Grid" w:uiPriority="59"/>
    <w:lsdException w:name="Placeholder Text" w:semiHidden="1"/>
    <w:lsdException w:name="No Spacing" w:uiPriority="0"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semiHidden/>
    <w:rsid w:val="004C1AE4"/>
    <w:pPr>
      <w:jc w:val="both"/>
    </w:pPr>
    <w:rPr>
      <w:rFonts w:eastAsiaTheme="minorEastAsia"/>
      <w:sz w:val="24"/>
      <w:lang w:val="en-US" w:eastAsia="en-US"/>
    </w:rPr>
  </w:style>
  <w:style w:type="paragraph" w:styleId="Titre1">
    <w:name w:val="heading 1"/>
    <w:basedOn w:val="Normal"/>
    <w:next w:val="Normal"/>
    <w:link w:val="Titre1Car"/>
    <w:uiPriority w:val="99"/>
    <w:semiHidden/>
    <w:rsid w:val="004C1AE4"/>
    <w:pPr>
      <w:spacing w:before="480"/>
      <w:contextualSpacing/>
      <w:outlineLvl w:val="0"/>
    </w:pPr>
    <w:rPr>
      <w:rFonts w:asciiTheme="majorHAnsi" w:eastAsiaTheme="majorEastAsia" w:hAnsiTheme="majorHAnsi" w:cstheme="majorBidi"/>
      <w:b/>
      <w:bCs/>
      <w:color w:val="333333"/>
      <w:sz w:val="28"/>
      <w:szCs w:val="28"/>
    </w:rPr>
  </w:style>
  <w:style w:type="paragraph" w:styleId="Titre2">
    <w:name w:val="heading 2"/>
    <w:basedOn w:val="Normal"/>
    <w:next w:val="Normal"/>
    <w:link w:val="Titre2Car"/>
    <w:uiPriority w:val="99"/>
    <w:semiHidden/>
    <w:rsid w:val="004C1AE4"/>
    <w:pPr>
      <w:spacing w:before="200"/>
      <w:outlineLvl w:val="1"/>
    </w:pPr>
    <w:rPr>
      <w:rFonts w:asciiTheme="majorHAnsi" w:eastAsiaTheme="majorEastAsia" w:hAnsiTheme="majorHAnsi" w:cstheme="majorBidi"/>
      <w:b/>
      <w:bCs/>
      <w:color w:val="4D4D4D"/>
      <w:sz w:val="26"/>
      <w:szCs w:val="26"/>
    </w:rPr>
  </w:style>
  <w:style w:type="paragraph" w:styleId="Titre3">
    <w:name w:val="heading 3"/>
    <w:basedOn w:val="Normal"/>
    <w:next w:val="Normal"/>
    <w:link w:val="Titre3Car"/>
    <w:uiPriority w:val="99"/>
    <w:semiHidden/>
    <w:rsid w:val="004C1AE4"/>
    <w:pPr>
      <w:spacing w:before="200" w:line="271" w:lineRule="auto"/>
      <w:outlineLvl w:val="2"/>
    </w:pPr>
    <w:rPr>
      <w:rFonts w:asciiTheme="majorHAnsi" w:eastAsiaTheme="majorEastAsia" w:hAnsiTheme="majorHAnsi" w:cstheme="majorBidi"/>
      <w:b/>
      <w:bCs/>
      <w:color w:val="5F5F5F"/>
    </w:rPr>
  </w:style>
  <w:style w:type="paragraph" w:styleId="Titre4">
    <w:name w:val="heading 4"/>
    <w:basedOn w:val="Normal"/>
    <w:next w:val="Normal"/>
    <w:link w:val="Titre4Car"/>
    <w:uiPriority w:val="99"/>
    <w:semiHidden/>
    <w:rsid w:val="004C1AE4"/>
    <w:pPr>
      <w:spacing w:before="200"/>
      <w:outlineLvl w:val="3"/>
    </w:pPr>
    <w:rPr>
      <w:rFonts w:asciiTheme="majorHAnsi" w:eastAsiaTheme="majorEastAsia" w:hAnsiTheme="majorHAnsi" w:cstheme="majorBidi"/>
      <w:b/>
      <w:bCs/>
      <w:i/>
      <w:iCs/>
      <w:color w:val="777777"/>
    </w:rPr>
  </w:style>
  <w:style w:type="paragraph" w:styleId="Titre5">
    <w:name w:val="heading 5"/>
    <w:basedOn w:val="Normal"/>
    <w:next w:val="Normal"/>
    <w:link w:val="Titre5Car"/>
    <w:uiPriority w:val="99"/>
    <w:semiHidden/>
    <w:qFormat/>
    <w:rsid w:val="004C1AE4"/>
    <w:pPr>
      <w:spacing w:before="200"/>
      <w:outlineLvl w:val="4"/>
    </w:pPr>
    <w:rPr>
      <w:rFonts w:asciiTheme="majorHAnsi" w:eastAsiaTheme="majorEastAsia" w:hAnsiTheme="majorHAnsi" w:cstheme="majorBidi"/>
      <w:b/>
      <w:bCs/>
      <w:color w:val="808080"/>
      <w:sz w:val="22"/>
      <w:lang w:val="fr-FR" w:eastAsia="fr-FR"/>
    </w:rPr>
  </w:style>
  <w:style w:type="paragraph" w:styleId="Titre6">
    <w:name w:val="heading 6"/>
    <w:basedOn w:val="Normal"/>
    <w:next w:val="Normal"/>
    <w:link w:val="Titre6Car"/>
    <w:uiPriority w:val="99"/>
    <w:semiHidden/>
    <w:rsid w:val="004C1AE4"/>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re7">
    <w:name w:val="heading 7"/>
    <w:basedOn w:val="Normal"/>
    <w:next w:val="Normal"/>
    <w:link w:val="Titre7Car"/>
    <w:uiPriority w:val="99"/>
    <w:semiHidden/>
    <w:qFormat/>
    <w:rsid w:val="004C1AE4"/>
    <w:pPr>
      <w:outlineLvl w:val="6"/>
    </w:pPr>
    <w:rPr>
      <w:rFonts w:asciiTheme="majorHAnsi" w:eastAsiaTheme="majorEastAsia" w:hAnsiTheme="majorHAnsi" w:cstheme="majorBidi"/>
      <w:i/>
      <w:iCs/>
      <w:sz w:val="22"/>
      <w:lang w:val="fr-FR" w:eastAsia="fr-FR" w:bidi="en-US"/>
    </w:rPr>
  </w:style>
  <w:style w:type="paragraph" w:styleId="Titre8">
    <w:name w:val="heading 8"/>
    <w:basedOn w:val="Normal"/>
    <w:next w:val="Normal"/>
    <w:link w:val="Titre8Car"/>
    <w:uiPriority w:val="99"/>
    <w:semiHidden/>
    <w:qFormat/>
    <w:rsid w:val="004C1AE4"/>
    <w:pPr>
      <w:outlineLvl w:val="7"/>
    </w:pPr>
    <w:rPr>
      <w:rFonts w:asciiTheme="majorHAnsi" w:eastAsiaTheme="majorEastAsia" w:hAnsiTheme="majorHAnsi" w:cstheme="majorBidi"/>
      <w:sz w:val="20"/>
      <w:szCs w:val="20"/>
      <w:lang w:val="fr-FR" w:eastAsia="fr-FR" w:bidi="en-US"/>
    </w:rPr>
  </w:style>
  <w:style w:type="paragraph" w:styleId="Titre9">
    <w:name w:val="heading 9"/>
    <w:basedOn w:val="Normal"/>
    <w:next w:val="Normal"/>
    <w:link w:val="Titre9Car"/>
    <w:uiPriority w:val="99"/>
    <w:semiHidden/>
    <w:qFormat/>
    <w:rsid w:val="004C1AE4"/>
    <w:pPr>
      <w:outlineLvl w:val="8"/>
    </w:pPr>
    <w:rPr>
      <w:rFonts w:asciiTheme="majorHAnsi" w:eastAsiaTheme="majorEastAsia" w:hAnsiTheme="majorHAnsi" w:cstheme="majorBidi"/>
      <w:i/>
      <w:iCs/>
      <w:spacing w:val="5"/>
      <w:sz w:val="20"/>
      <w:szCs w:val="20"/>
      <w:lang w:val="fr-FR" w:eastAsia="fr-FR"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HRHeading1">
    <w:name w:val="ECHR_Heading_1"/>
    <w:aliases w:val="Ju_H_I_Roman"/>
    <w:basedOn w:val="Titre1"/>
    <w:next w:val="ECHRPara"/>
    <w:link w:val="JuHIRomanChar"/>
    <w:uiPriority w:val="19"/>
    <w:qFormat/>
    <w:rsid w:val="004C1AE4"/>
    <w:pPr>
      <w:keepNext/>
      <w:keepLines/>
      <w:tabs>
        <w:tab w:val="left" w:pos="357"/>
      </w:tabs>
      <w:spacing w:before="360" w:after="240"/>
      <w:ind w:left="357" w:hanging="357"/>
      <w:contextualSpacing w:val="0"/>
    </w:pPr>
    <w:rPr>
      <w:b w:val="0"/>
      <w:color w:val="auto"/>
      <w:sz w:val="24"/>
      <w:lang w:val="fr-FR" w:eastAsia="fr-FR"/>
    </w:rPr>
  </w:style>
  <w:style w:type="paragraph" w:customStyle="1" w:styleId="ECHRTitle1">
    <w:name w:val="ECHR_Title_1"/>
    <w:aliases w:val="Ju_H_Head"/>
    <w:basedOn w:val="Normal"/>
    <w:next w:val="ECHRPara"/>
    <w:uiPriority w:val="18"/>
    <w:qFormat/>
    <w:rsid w:val="004C1AE4"/>
    <w:pPr>
      <w:keepNext/>
      <w:keepLines/>
      <w:spacing w:before="720" w:after="240"/>
      <w:outlineLvl w:val="0"/>
    </w:pPr>
    <w:rPr>
      <w:rFonts w:asciiTheme="majorHAnsi" w:hAnsiTheme="majorHAnsi"/>
      <w:sz w:val="28"/>
      <w:lang w:val="fr-FR" w:eastAsia="fr-FR"/>
    </w:rPr>
  </w:style>
  <w:style w:type="paragraph" w:customStyle="1" w:styleId="ECHRPara">
    <w:name w:val="ECHR_Para"/>
    <w:aliases w:val="Ju_Para"/>
    <w:basedOn w:val="Normal"/>
    <w:link w:val="ECHRParaChar"/>
    <w:uiPriority w:val="12"/>
    <w:qFormat/>
    <w:rsid w:val="004C1AE4"/>
    <w:pPr>
      <w:ind w:firstLine="284"/>
    </w:pPr>
  </w:style>
  <w:style w:type="character" w:customStyle="1" w:styleId="ECHRParaChar">
    <w:name w:val="ECHR_Para Char"/>
    <w:aliases w:val="Ju_Para Char"/>
    <w:link w:val="ECHRPara"/>
    <w:uiPriority w:val="12"/>
    <w:rsid w:val="009D29DE"/>
    <w:rPr>
      <w:rFonts w:eastAsiaTheme="minorEastAsia"/>
      <w:sz w:val="24"/>
      <w:lang w:val="en-US" w:eastAsia="en-US"/>
    </w:rPr>
  </w:style>
  <w:style w:type="character" w:customStyle="1" w:styleId="JuHIRomanChar">
    <w:name w:val="Ju_H_I_Roman Char"/>
    <w:link w:val="ECHRHeading1"/>
    <w:uiPriority w:val="19"/>
    <w:rsid w:val="00D31210"/>
    <w:rPr>
      <w:rFonts w:asciiTheme="majorHAnsi" w:eastAsiaTheme="majorEastAsia" w:hAnsiTheme="majorHAnsi" w:cstheme="majorBidi"/>
      <w:bCs/>
      <w:sz w:val="24"/>
      <w:szCs w:val="28"/>
    </w:rPr>
  </w:style>
  <w:style w:type="paragraph" w:styleId="Pieddepage">
    <w:name w:val="footer"/>
    <w:basedOn w:val="Normal"/>
    <w:link w:val="PieddepageCar"/>
    <w:uiPriority w:val="57"/>
    <w:semiHidden/>
    <w:rsid w:val="004C1AE4"/>
    <w:pPr>
      <w:tabs>
        <w:tab w:val="center" w:pos="4536"/>
        <w:tab w:val="right" w:pos="9696"/>
      </w:tabs>
      <w:ind w:left="-680" w:right="-680"/>
    </w:pPr>
    <w:rPr>
      <w:rFonts w:eastAsiaTheme="minorHAnsi"/>
    </w:rPr>
  </w:style>
  <w:style w:type="paragraph" w:customStyle="1" w:styleId="ECHRDecisionBody">
    <w:name w:val="ECHR_Decision_Body"/>
    <w:aliases w:val="Ju_Judges"/>
    <w:basedOn w:val="Normal"/>
    <w:link w:val="JuJudgesChar"/>
    <w:uiPriority w:val="11"/>
    <w:qFormat/>
    <w:rsid w:val="004C1AE4"/>
    <w:pPr>
      <w:tabs>
        <w:tab w:val="left" w:pos="567"/>
        <w:tab w:val="left" w:pos="1134"/>
      </w:tabs>
      <w:jc w:val="left"/>
    </w:pPr>
    <w:rPr>
      <w:lang w:val="fr-FR" w:eastAsia="fr-FR"/>
    </w:rPr>
  </w:style>
  <w:style w:type="character" w:customStyle="1" w:styleId="JuJudgesChar">
    <w:name w:val="Ju_Judges Char"/>
    <w:link w:val="ECHRDecisionBody"/>
    <w:uiPriority w:val="11"/>
    <w:rsid w:val="00287191"/>
    <w:rPr>
      <w:rFonts w:eastAsiaTheme="minorEastAsia"/>
      <w:sz w:val="24"/>
    </w:rPr>
  </w:style>
  <w:style w:type="character" w:styleId="lev">
    <w:name w:val="Strong"/>
    <w:uiPriority w:val="99"/>
    <w:semiHidden/>
    <w:qFormat/>
    <w:rsid w:val="004C1AE4"/>
    <w:rPr>
      <w:b/>
      <w:bCs/>
    </w:rPr>
  </w:style>
  <w:style w:type="paragraph" w:customStyle="1" w:styleId="ECHRHeading2">
    <w:name w:val="ECHR_Heading_2"/>
    <w:aliases w:val="Ju_H_A"/>
    <w:basedOn w:val="Titre2"/>
    <w:next w:val="ECHRPara"/>
    <w:uiPriority w:val="20"/>
    <w:qFormat/>
    <w:rsid w:val="004C1AE4"/>
    <w:pPr>
      <w:keepNext/>
      <w:keepLines/>
      <w:tabs>
        <w:tab w:val="left" w:pos="584"/>
      </w:tabs>
      <w:spacing w:before="360" w:after="240"/>
      <w:ind w:left="584" w:hanging="352"/>
    </w:pPr>
    <w:rPr>
      <w:color w:val="auto"/>
      <w:sz w:val="24"/>
      <w:lang w:val="fr-FR" w:eastAsia="fr-FR"/>
    </w:rPr>
  </w:style>
  <w:style w:type="paragraph" w:customStyle="1" w:styleId="ECHRParaQuote">
    <w:name w:val="ECHR_Para_Quote"/>
    <w:aliases w:val="Ju_Quot"/>
    <w:basedOn w:val="Normal"/>
    <w:link w:val="JuQuotChar"/>
    <w:uiPriority w:val="14"/>
    <w:qFormat/>
    <w:rsid w:val="004C1AE4"/>
    <w:pPr>
      <w:spacing w:before="120" w:after="120"/>
      <w:ind w:left="425" w:firstLine="142"/>
    </w:pPr>
    <w:rPr>
      <w:sz w:val="20"/>
      <w:lang w:val="fr-FR" w:eastAsia="fr-FR"/>
    </w:rPr>
  </w:style>
  <w:style w:type="paragraph" w:customStyle="1" w:styleId="JuSigned">
    <w:name w:val="Ju_Signed"/>
    <w:basedOn w:val="Normal"/>
    <w:next w:val="JuParaLast"/>
    <w:uiPriority w:val="32"/>
    <w:qFormat/>
    <w:rsid w:val="004C1AE4"/>
    <w:pPr>
      <w:tabs>
        <w:tab w:val="center" w:pos="851"/>
        <w:tab w:val="center" w:pos="6407"/>
      </w:tabs>
      <w:spacing w:before="720"/>
      <w:jc w:val="left"/>
    </w:pPr>
    <w:rPr>
      <w:lang w:val="fr-FR" w:eastAsia="fr-FR"/>
    </w:rPr>
  </w:style>
  <w:style w:type="paragraph" w:customStyle="1" w:styleId="JuParaLast">
    <w:name w:val="Ju_Para_Last"/>
    <w:basedOn w:val="Normal"/>
    <w:next w:val="ECHRPara"/>
    <w:uiPriority w:val="30"/>
    <w:qFormat/>
    <w:rsid w:val="004C1AE4"/>
    <w:pPr>
      <w:keepNext/>
      <w:keepLines/>
      <w:spacing w:before="240"/>
      <w:ind w:firstLine="284"/>
    </w:pPr>
    <w:rPr>
      <w:lang w:val="fr-FR" w:eastAsia="fr-FR"/>
    </w:rPr>
  </w:style>
  <w:style w:type="paragraph" w:customStyle="1" w:styleId="JuCase">
    <w:name w:val="Ju_Case"/>
    <w:basedOn w:val="Normal"/>
    <w:next w:val="ECHRPara"/>
    <w:uiPriority w:val="10"/>
    <w:rsid w:val="004C1AE4"/>
    <w:pPr>
      <w:ind w:firstLine="284"/>
    </w:pPr>
    <w:rPr>
      <w:b/>
    </w:rPr>
  </w:style>
  <w:style w:type="paragraph" w:customStyle="1" w:styleId="JuList">
    <w:name w:val="Ju_List"/>
    <w:basedOn w:val="Normal"/>
    <w:uiPriority w:val="28"/>
    <w:qFormat/>
    <w:rsid w:val="004C1AE4"/>
    <w:pPr>
      <w:ind w:left="340" w:hanging="340"/>
    </w:pPr>
    <w:rPr>
      <w:lang w:val="fr-FR" w:eastAsia="fr-FR"/>
    </w:rPr>
  </w:style>
  <w:style w:type="paragraph" w:customStyle="1" w:styleId="JuAppQuestion">
    <w:name w:val="Ju_App_Question"/>
    <w:basedOn w:val="Normal"/>
    <w:uiPriority w:val="5"/>
    <w:rsid w:val="004C1AE4"/>
    <w:pPr>
      <w:numPr>
        <w:numId w:val="2"/>
      </w:numPr>
      <w:jc w:val="left"/>
    </w:pPr>
    <w:rPr>
      <w:b/>
    </w:rPr>
  </w:style>
  <w:style w:type="paragraph" w:styleId="Notedebasdepage">
    <w:name w:val="footnote text"/>
    <w:basedOn w:val="Normal"/>
    <w:link w:val="NotedebasdepageCar"/>
    <w:uiPriority w:val="99"/>
    <w:semiHidden/>
    <w:rsid w:val="004C1AE4"/>
    <w:rPr>
      <w:sz w:val="20"/>
      <w:szCs w:val="20"/>
    </w:rPr>
  </w:style>
  <w:style w:type="character" w:styleId="Marquenotebasdepage">
    <w:name w:val="footnote reference"/>
    <w:basedOn w:val="Policepardfaut"/>
    <w:uiPriority w:val="99"/>
    <w:semiHidden/>
    <w:rsid w:val="004C1AE4"/>
    <w:rPr>
      <w:vertAlign w:val="superscript"/>
    </w:rPr>
  </w:style>
  <w:style w:type="paragraph" w:styleId="En-tte">
    <w:name w:val="header"/>
    <w:basedOn w:val="Normal"/>
    <w:link w:val="En-tteCar"/>
    <w:uiPriority w:val="57"/>
    <w:semiHidden/>
    <w:rsid w:val="004C1AE4"/>
    <w:pPr>
      <w:tabs>
        <w:tab w:val="center" w:pos="4536"/>
        <w:tab w:val="right" w:pos="9072"/>
      </w:tabs>
    </w:pPr>
    <w:rPr>
      <w:rFonts w:eastAsiaTheme="minorHAnsi"/>
    </w:rPr>
  </w:style>
  <w:style w:type="character" w:styleId="Numrodepage">
    <w:name w:val="page number"/>
    <w:uiPriority w:val="99"/>
    <w:semiHidden/>
    <w:rsid w:val="004219F0"/>
    <w:rPr>
      <w:rFonts w:ascii="Times New Roman" w:hAnsi="Times New Roman" w:cs="Times New Roman"/>
      <w:sz w:val="18"/>
    </w:rPr>
  </w:style>
  <w:style w:type="paragraph" w:customStyle="1" w:styleId="JuLista">
    <w:name w:val="Ju_List_a"/>
    <w:basedOn w:val="JuList"/>
    <w:uiPriority w:val="28"/>
    <w:qFormat/>
    <w:rsid w:val="004C1AE4"/>
    <w:pPr>
      <w:ind w:left="346" w:firstLine="0"/>
    </w:pPr>
  </w:style>
  <w:style w:type="paragraph" w:customStyle="1" w:styleId="JuListi">
    <w:name w:val="Ju_List_i"/>
    <w:basedOn w:val="Normal"/>
    <w:next w:val="JuLista"/>
    <w:uiPriority w:val="28"/>
    <w:qFormat/>
    <w:rsid w:val="004C1AE4"/>
    <w:pPr>
      <w:ind w:left="794"/>
    </w:pPr>
    <w:rPr>
      <w:lang w:val="fr-FR" w:eastAsia="fr-FR"/>
    </w:rPr>
  </w:style>
  <w:style w:type="character" w:styleId="Marquedannotation">
    <w:name w:val="annotation reference"/>
    <w:uiPriority w:val="99"/>
    <w:semiHidden/>
    <w:rPr>
      <w:sz w:val="16"/>
    </w:rPr>
  </w:style>
  <w:style w:type="paragraph" w:styleId="Commentaire">
    <w:name w:val="annotation text"/>
    <w:basedOn w:val="Normal"/>
    <w:uiPriority w:val="99"/>
    <w:semiHidden/>
    <w:rPr>
      <w:sz w:val="20"/>
    </w:rPr>
  </w:style>
  <w:style w:type="paragraph" w:styleId="Textedebulles">
    <w:name w:val="Balloon Text"/>
    <w:basedOn w:val="Normal"/>
    <w:link w:val="TextedebullesCar"/>
    <w:uiPriority w:val="99"/>
    <w:semiHidden/>
    <w:rsid w:val="004C1AE4"/>
    <w:rPr>
      <w:rFonts w:ascii="Tahoma" w:hAnsi="Tahoma" w:cs="Tahoma"/>
      <w:sz w:val="16"/>
      <w:szCs w:val="16"/>
    </w:rPr>
  </w:style>
  <w:style w:type="character" w:styleId="Lienhypertexte">
    <w:name w:val="Hyperlink"/>
    <w:basedOn w:val="Policepardfaut"/>
    <w:uiPriority w:val="99"/>
    <w:semiHidden/>
    <w:rsid w:val="004C1AE4"/>
    <w:rPr>
      <w:color w:val="0072BC" w:themeColor="hyperlink"/>
      <w:u w:val="single"/>
    </w:rPr>
  </w:style>
  <w:style w:type="character" w:styleId="Marquedenotedefin">
    <w:name w:val="endnote reference"/>
    <w:uiPriority w:val="99"/>
    <w:semiHidden/>
    <w:rsid w:val="004219F0"/>
    <w:rPr>
      <w:rFonts w:ascii="Times New Roman" w:hAnsi="Times New Roman" w:cs="Times New Roman"/>
      <w:vertAlign w:val="superscript"/>
    </w:rPr>
  </w:style>
  <w:style w:type="paragraph" w:styleId="Notedefin">
    <w:name w:val="endnote text"/>
    <w:basedOn w:val="Normal"/>
    <w:uiPriority w:val="99"/>
    <w:semiHidden/>
    <w:rsid w:val="004219F0"/>
    <w:rPr>
      <w:sz w:val="20"/>
    </w:rPr>
  </w:style>
  <w:style w:type="character" w:styleId="Lienhypertextesuivi">
    <w:name w:val="FollowedHyperlink"/>
    <w:uiPriority w:val="99"/>
    <w:semiHidden/>
    <w:rsid w:val="004219F0"/>
    <w:rPr>
      <w:rFonts w:ascii="Times New Roman" w:hAnsi="Times New Roman" w:cs="Times New Roman"/>
      <w:color w:val="800080"/>
      <w:u w:val="single"/>
    </w:rPr>
  </w:style>
  <w:style w:type="paragraph" w:styleId="Listepuces">
    <w:name w:val="List Bullet"/>
    <w:basedOn w:val="Normal"/>
    <w:uiPriority w:val="99"/>
    <w:semiHidden/>
    <w:rsid w:val="00387F24"/>
    <w:pPr>
      <w:numPr>
        <w:numId w:val="1"/>
      </w:numPr>
    </w:pPr>
  </w:style>
  <w:style w:type="paragraph" w:customStyle="1" w:styleId="OpiPara">
    <w:name w:val="Opi_Para"/>
    <w:basedOn w:val="ECHRPara"/>
    <w:uiPriority w:val="46"/>
    <w:qFormat/>
    <w:rsid w:val="004C1AE4"/>
  </w:style>
  <w:style w:type="paragraph" w:styleId="Objetducommentaire">
    <w:name w:val="annotation subject"/>
    <w:basedOn w:val="Commentaire"/>
    <w:next w:val="Commentaire"/>
    <w:uiPriority w:val="99"/>
    <w:semiHidden/>
    <w:rsid w:val="00E27B15"/>
    <w:rPr>
      <w:b/>
      <w:bCs/>
    </w:rPr>
  </w:style>
  <w:style w:type="paragraph" w:styleId="Explorateurdedocument">
    <w:name w:val="Document Map"/>
    <w:basedOn w:val="Normal"/>
    <w:uiPriority w:val="99"/>
    <w:semiHidden/>
    <w:rsid w:val="00B33C50"/>
    <w:pPr>
      <w:shd w:val="clear" w:color="auto" w:fill="000080"/>
    </w:pPr>
    <w:rPr>
      <w:rFonts w:ascii="Tahoma" w:hAnsi="Tahoma" w:cs="Tahoma"/>
      <w:sz w:val="20"/>
    </w:rPr>
  </w:style>
  <w:style w:type="paragraph" w:customStyle="1" w:styleId="JuParaSub">
    <w:name w:val="Ju_Para_Sub"/>
    <w:basedOn w:val="ECHRPara"/>
    <w:uiPriority w:val="13"/>
    <w:qFormat/>
    <w:rsid w:val="004C1AE4"/>
    <w:pPr>
      <w:ind w:left="284"/>
    </w:pPr>
  </w:style>
  <w:style w:type="character" w:customStyle="1" w:styleId="Titre1Car">
    <w:name w:val="Titre 1 Car"/>
    <w:basedOn w:val="Policepardfaut"/>
    <w:link w:val="Titre1"/>
    <w:uiPriority w:val="99"/>
    <w:semiHidden/>
    <w:rsid w:val="004C1AE4"/>
    <w:rPr>
      <w:rFonts w:asciiTheme="majorHAnsi" w:eastAsiaTheme="majorEastAsia" w:hAnsiTheme="majorHAnsi" w:cstheme="majorBidi"/>
      <w:b/>
      <w:bCs/>
      <w:color w:val="333333"/>
      <w:sz w:val="28"/>
      <w:szCs w:val="28"/>
      <w:lang w:val="en-US" w:eastAsia="en-US"/>
    </w:rPr>
  </w:style>
  <w:style w:type="character" w:customStyle="1" w:styleId="Titre2Car">
    <w:name w:val="Titre 2 Car"/>
    <w:basedOn w:val="Policepardfaut"/>
    <w:link w:val="Titre2"/>
    <w:uiPriority w:val="99"/>
    <w:semiHidden/>
    <w:rsid w:val="004C1AE4"/>
    <w:rPr>
      <w:rFonts w:asciiTheme="majorHAnsi" w:eastAsiaTheme="majorEastAsia" w:hAnsiTheme="majorHAnsi" w:cstheme="majorBidi"/>
      <w:b/>
      <w:bCs/>
      <w:color w:val="4D4D4D"/>
      <w:sz w:val="26"/>
      <w:szCs w:val="26"/>
      <w:lang w:val="en-US" w:eastAsia="en-US"/>
    </w:rPr>
  </w:style>
  <w:style w:type="character" w:customStyle="1" w:styleId="Titre3Car">
    <w:name w:val="Titre 3 Car"/>
    <w:basedOn w:val="Policepardfaut"/>
    <w:link w:val="Titre3"/>
    <w:uiPriority w:val="99"/>
    <w:semiHidden/>
    <w:rsid w:val="004C1AE4"/>
    <w:rPr>
      <w:rFonts w:asciiTheme="majorHAnsi" w:eastAsiaTheme="majorEastAsia" w:hAnsiTheme="majorHAnsi" w:cstheme="majorBidi"/>
      <w:b/>
      <w:bCs/>
      <w:color w:val="5F5F5F"/>
      <w:sz w:val="24"/>
      <w:lang w:val="en-US" w:eastAsia="en-US"/>
    </w:rPr>
  </w:style>
  <w:style w:type="character" w:customStyle="1" w:styleId="Titre4Car">
    <w:name w:val="Titre 4 Car"/>
    <w:basedOn w:val="Policepardfaut"/>
    <w:link w:val="Titre4"/>
    <w:uiPriority w:val="99"/>
    <w:semiHidden/>
    <w:rsid w:val="004C1AE4"/>
    <w:rPr>
      <w:rFonts w:asciiTheme="majorHAnsi" w:eastAsiaTheme="majorEastAsia" w:hAnsiTheme="majorHAnsi" w:cstheme="majorBidi"/>
      <w:b/>
      <w:bCs/>
      <w:i/>
      <w:iCs/>
      <w:color w:val="777777"/>
      <w:sz w:val="24"/>
      <w:lang w:val="en-US" w:eastAsia="en-US"/>
    </w:rPr>
  </w:style>
  <w:style w:type="character" w:customStyle="1" w:styleId="Titre5Car">
    <w:name w:val="Titre 5 Car"/>
    <w:basedOn w:val="Policepardfaut"/>
    <w:link w:val="Titre5"/>
    <w:uiPriority w:val="99"/>
    <w:semiHidden/>
    <w:rsid w:val="004C1AE4"/>
    <w:rPr>
      <w:rFonts w:asciiTheme="majorHAnsi" w:eastAsiaTheme="majorEastAsia" w:hAnsiTheme="majorHAnsi" w:cstheme="majorBidi"/>
      <w:b/>
      <w:bCs/>
      <w:color w:val="808080"/>
    </w:rPr>
  </w:style>
  <w:style w:type="character" w:customStyle="1" w:styleId="Titre6Car">
    <w:name w:val="Titre 6 Car"/>
    <w:basedOn w:val="Policepardfaut"/>
    <w:link w:val="Titre6"/>
    <w:uiPriority w:val="99"/>
    <w:semiHidden/>
    <w:rsid w:val="004C1AE4"/>
    <w:rPr>
      <w:rFonts w:asciiTheme="majorHAnsi" w:eastAsiaTheme="majorEastAsia" w:hAnsiTheme="majorHAnsi" w:cstheme="majorBidi"/>
      <w:b/>
      <w:bCs/>
      <w:i/>
      <w:iCs/>
      <w:color w:val="7F7F7F" w:themeColor="text1" w:themeTint="80"/>
      <w:sz w:val="24"/>
      <w:lang w:val="en-US" w:eastAsia="en-US" w:bidi="en-US"/>
    </w:rPr>
  </w:style>
  <w:style w:type="character" w:customStyle="1" w:styleId="Titre7Car">
    <w:name w:val="Titre 7 Car"/>
    <w:basedOn w:val="Policepardfaut"/>
    <w:link w:val="Titre7"/>
    <w:uiPriority w:val="99"/>
    <w:semiHidden/>
    <w:rsid w:val="004C1AE4"/>
    <w:rPr>
      <w:rFonts w:asciiTheme="majorHAnsi" w:eastAsiaTheme="majorEastAsia" w:hAnsiTheme="majorHAnsi" w:cstheme="majorBidi"/>
      <w:i/>
      <w:iCs/>
      <w:lang w:bidi="en-US"/>
    </w:rPr>
  </w:style>
  <w:style w:type="character" w:customStyle="1" w:styleId="Titre8Car">
    <w:name w:val="Titre 8 Car"/>
    <w:basedOn w:val="Policepardfaut"/>
    <w:link w:val="Titre8"/>
    <w:uiPriority w:val="99"/>
    <w:semiHidden/>
    <w:rsid w:val="004C1AE4"/>
    <w:rPr>
      <w:rFonts w:asciiTheme="majorHAnsi" w:eastAsiaTheme="majorEastAsia" w:hAnsiTheme="majorHAnsi" w:cstheme="majorBidi"/>
      <w:sz w:val="20"/>
      <w:szCs w:val="20"/>
      <w:lang w:bidi="en-US"/>
    </w:rPr>
  </w:style>
  <w:style w:type="character" w:customStyle="1" w:styleId="Titre9Car">
    <w:name w:val="Titre 9 Car"/>
    <w:basedOn w:val="Policepardfaut"/>
    <w:link w:val="Titre9"/>
    <w:uiPriority w:val="99"/>
    <w:semiHidden/>
    <w:rsid w:val="004C1AE4"/>
    <w:rPr>
      <w:rFonts w:asciiTheme="majorHAnsi" w:eastAsiaTheme="majorEastAsia" w:hAnsiTheme="majorHAnsi" w:cstheme="majorBidi"/>
      <w:i/>
      <w:iCs/>
      <w:spacing w:val="5"/>
      <w:sz w:val="20"/>
      <w:szCs w:val="20"/>
      <w:lang w:bidi="en-US"/>
    </w:rPr>
  </w:style>
  <w:style w:type="character" w:customStyle="1" w:styleId="TextedebullesCar">
    <w:name w:val="Texte de bulles Car"/>
    <w:basedOn w:val="Policepardfaut"/>
    <w:link w:val="Textedebulles"/>
    <w:uiPriority w:val="99"/>
    <w:semiHidden/>
    <w:rsid w:val="004C1AE4"/>
    <w:rPr>
      <w:rFonts w:ascii="Tahoma" w:eastAsiaTheme="minorEastAsia" w:hAnsi="Tahoma" w:cs="Tahoma"/>
      <w:sz w:val="16"/>
      <w:szCs w:val="16"/>
      <w:lang w:val="en-US" w:eastAsia="en-US"/>
    </w:rPr>
  </w:style>
  <w:style w:type="character" w:styleId="Titredulivre">
    <w:name w:val="Book Title"/>
    <w:uiPriority w:val="99"/>
    <w:semiHidden/>
    <w:qFormat/>
    <w:rsid w:val="004C1AE4"/>
    <w:rPr>
      <w:i/>
      <w:iCs/>
      <w:smallCaps/>
      <w:spacing w:val="5"/>
    </w:rPr>
  </w:style>
  <w:style w:type="paragraph" w:styleId="Sansinterligne">
    <w:name w:val="No Spacing"/>
    <w:basedOn w:val="Normal"/>
    <w:link w:val="SansinterligneCar"/>
    <w:semiHidden/>
    <w:qFormat/>
    <w:rsid w:val="004C1AE4"/>
    <w:rPr>
      <w:sz w:val="22"/>
      <w:lang w:val="fr-FR" w:eastAsia="fr-FR"/>
    </w:rPr>
  </w:style>
  <w:style w:type="character" w:customStyle="1" w:styleId="SansinterligneCar">
    <w:name w:val="Sans interligne Car"/>
    <w:basedOn w:val="Policepardfaut"/>
    <w:link w:val="Sansinterligne"/>
    <w:semiHidden/>
    <w:rsid w:val="004C1AE4"/>
    <w:rPr>
      <w:rFonts w:eastAsiaTheme="minorEastAsia"/>
    </w:rPr>
  </w:style>
  <w:style w:type="paragraph" w:styleId="Titre">
    <w:name w:val="Title"/>
    <w:basedOn w:val="Normal"/>
    <w:next w:val="Normal"/>
    <w:link w:val="TitreCar"/>
    <w:uiPriority w:val="99"/>
    <w:semiHidden/>
    <w:qFormat/>
    <w:rsid w:val="004C1AE4"/>
    <w:pPr>
      <w:pBdr>
        <w:bottom w:val="single" w:sz="4" w:space="1" w:color="auto"/>
      </w:pBdr>
      <w:contextualSpacing/>
    </w:pPr>
    <w:rPr>
      <w:rFonts w:asciiTheme="majorHAnsi" w:eastAsiaTheme="majorEastAsia" w:hAnsiTheme="majorHAnsi" w:cstheme="majorBidi"/>
      <w:spacing w:val="5"/>
      <w:sz w:val="52"/>
      <w:szCs w:val="52"/>
      <w:lang w:val="fr-FR" w:eastAsia="fr-FR" w:bidi="en-US"/>
    </w:rPr>
  </w:style>
  <w:style w:type="character" w:customStyle="1" w:styleId="TitreCar">
    <w:name w:val="Titre Car"/>
    <w:basedOn w:val="Policepardfaut"/>
    <w:link w:val="Titre"/>
    <w:uiPriority w:val="99"/>
    <w:semiHidden/>
    <w:rsid w:val="004C1AE4"/>
    <w:rPr>
      <w:rFonts w:asciiTheme="majorHAnsi" w:eastAsiaTheme="majorEastAsia" w:hAnsiTheme="majorHAnsi" w:cstheme="majorBidi"/>
      <w:spacing w:val="5"/>
      <w:sz w:val="52"/>
      <w:szCs w:val="52"/>
      <w:lang w:bidi="en-US"/>
    </w:rPr>
  </w:style>
  <w:style w:type="paragraph" w:styleId="Sous-titre">
    <w:name w:val="Subtitle"/>
    <w:basedOn w:val="Normal"/>
    <w:next w:val="Normal"/>
    <w:link w:val="Sous-titreCar"/>
    <w:uiPriority w:val="99"/>
    <w:semiHidden/>
    <w:qFormat/>
    <w:rsid w:val="004C1AE4"/>
    <w:pPr>
      <w:spacing w:after="600"/>
    </w:pPr>
    <w:rPr>
      <w:rFonts w:asciiTheme="majorHAnsi" w:eastAsiaTheme="majorEastAsia" w:hAnsiTheme="majorHAnsi" w:cstheme="majorBidi"/>
      <w:i/>
      <w:iCs/>
      <w:spacing w:val="13"/>
      <w:szCs w:val="24"/>
      <w:lang w:val="fr-FR" w:eastAsia="fr-FR" w:bidi="en-US"/>
    </w:rPr>
  </w:style>
  <w:style w:type="character" w:customStyle="1" w:styleId="Sous-titreCar">
    <w:name w:val="Sous-titre Car"/>
    <w:basedOn w:val="Policepardfaut"/>
    <w:link w:val="Sous-titre"/>
    <w:uiPriority w:val="99"/>
    <w:semiHidden/>
    <w:rsid w:val="004C1AE4"/>
    <w:rPr>
      <w:rFonts w:asciiTheme="majorHAnsi" w:eastAsiaTheme="majorEastAsia" w:hAnsiTheme="majorHAnsi" w:cstheme="majorBidi"/>
      <w:i/>
      <w:iCs/>
      <w:spacing w:val="13"/>
      <w:sz w:val="24"/>
      <w:szCs w:val="24"/>
      <w:lang w:bidi="en-US"/>
    </w:rPr>
  </w:style>
  <w:style w:type="paragraph" w:customStyle="1" w:styleId="ECHRFooter">
    <w:name w:val="ECHR_Footer"/>
    <w:aliases w:val="Footer_ECHR"/>
    <w:basedOn w:val="Pieddepage"/>
    <w:uiPriority w:val="57"/>
    <w:semiHidden/>
    <w:rsid w:val="004C1AE4"/>
    <w:pPr>
      <w:jc w:val="left"/>
    </w:pPr>
    <w:rPr>
      <w:sz w:val="8"/>
    </w:rPr>
  </w:style>
  <w:style w:type="paragraph" w:customStyle="1" w:styleId="ECHRFooterLine">
    <w:name w:val="ECHR_Footer_Line"/>
    <w:aliases w:val="Footer_Line"/>
    <w:basedOn w:val="Normal"/>
    <w:next w:val="ECHRFooter"/>
    <w:uiPriority w:val="57"/>
    <w:semiHidden/>
    <w:rsid w:val="004C1AE4"/>
    <w:pPr>
      <w:pBdr>
        <w:top w:val="single" w:sz="6" w:space="1" w:color="5F5F5F"/>
      </w:pBdr>
      <w:tabs>
        <w:tab w:val="center" w:pos="4536"/>
        <w:tab w:val="right" w:pos="9696"/>
      </w:tabs>
      <w:ind w:left="-680" w:right="-680"/>
      <w:jc w:val="left"/>
    </w:pPr>
    <w:rPr>
      <w:color w:val="5F5F5F"/>
    </w:rPr>
  </w:style>
  <w:style w:type="character" w:customStyle="1" w:styleId="En-tteCar">
    <w:name w:val="En-tête Car"/>
    <w:basedOn w:val="Policepardfaut"/>
    <w:link w:val="En-tte"/>
    <w:uiPriority w:val="57"/>
    <w:semiHidden/>
    <w:rsid w:val="004C1AE4"/>
    <w:rPr>
      <w:sz w:val="24"/>
      <w:lang w:val="en-US" w:eastAsia="en-US"/>
    </w:rPr>
  </w:style>
  <w:style w:type="paragraph" w:customStyle="1" w:styleId="ECHRHeader">
    <w:name w:val="ECHR_Header"/>
    <w:aliases w:val="Ju_Header"/>
    <w:basedOn w:val="En-tte"/>
    <w:uiPriority w:val="4"/>
    <w:qFormat/>
    <w:rsid w:val="004C1AE4"/>
    <w:pPr>
      <w:tabs>
        <w:tab w:val="clear" w:pos="4536"/>
        <w:tab w:val="clear" w:pos="9072"/>
        <w:tab w:val="center" w:pos="3686"/>
        <w:tab w:val="right" w:pos="7371"/>
      </w:tabs>
      <w:jc w:val="left"/>
    </w:pPr>
    <w:rPr>
      <w:sz w:val="18"/>
      <w:lang w:val="fr-FR" w:eastAsia="fr-FR"/>
    </w:rPr>
  </w:style>
  <w:style w:type="character" w:styleId="Accentuationdiscrte">
    <w:name w:val="Subtle Emphasis"/>
    <w:uiPriority w:val="99"/>
    <w:semiHidden/>
    <w:qFormat/>
    <w:rsid w:val="004C1AE4"/>
    <w:rPr>
      <w:i/>
      <w:iCs/>
    </w:rPr>
  </w:style>
  <w:style w:type="character" w:styleId="Accentuation">
    <w:name w:val="Emphasis"/>
    <w:uiPriority w:val="99"/>
    <w:semiHidden/>
    <w:qFormat/>
    <w:rsid w:val="004C1AE4"/>
    <w:rPr>
      <w:b/>
      <w:bCs/>
      <w:i/>
      <w:iCs/>
      <w:spacing w:val="10"/>
      <w:bdr w:val="none" w:sz="0" w:space="0" w:color="auto"/>
      <w:shd w:val="clear" w:color="auto" w:fill="auto"/>
    </w:rPr>
  </w:style>
  <w:style w:type="character" w:customStyle="1" w:styleId="PieddepageCar">
    <w:name w:val="Pied de page Car"/>
    <w:basedOn w:val="Policepardfaut"/>
    <w:link w:val="Pieddepage"/>
    <w:uiPriority w:val="57"/>
    <w:semiHidden/>
    <w:rsid w:val="004C1AE4"/>
    <w:rPr>
      <w:sz w:val="24"/>
      <w:lang w:val="en-US" w:eastAsia="en-US"/>
    </w:rPr>
  </w:style>
  <w:style w:type="character" w:customStyle="1" w:styleId="NotedebasdepageCar">
    <w:name w:val="Note de bas de page Car"/>
    <w:basedOn w:val="Policepardfaut"/>
    <w:link w:val="Notedebasdepage"/>
    <w:uiPriority w:val="99"/>
    <w:semiHidden/>
    <w:rsid w:val="004C1AE4"/>
    <w:rPr>
      <w:rFonts w:eastAsiaTheme="minorEastAsia"/>
      <w:sz w:val="20"/>
      <w:szCs w:val="20"/>
      <w:lang w:val="en-US" w:eastAsia="en-US"/>
    </w:rPr>
  </w:style>
  <w:style w:type="character" w:styleId="Forteaccentuation">
    <w:name w:val="Intense Emphasis"/>
    <w:uiPriority w:val="99"/>
    <w:semiHidden/>
    <w:qFormat/>
    <w:rsid w:val="004C1AE4"/>
    <w:rPr>
      <w:b/>
      <w:bCs/>
    </w:rPr>
  </w:style>
  <w:style w:type="paragraph" w:styleId="Citationintense">
    <w:name w:val="Intense Quote"/>
    <w:basedOn w:val="Normal"/>
    <w:next w:val="Normal"/>
    <w:link w:val="CitationintenseCar"/>
    <w:uiPriority w:val="99"/>
    <w:semiHidden/>
    <w:qFormat/>
    <w:rsid w:val="004C1AE4"/>
    <w:pPr>
      <w:pBdr>
        <w:bottom w:val="single" w:sz="4" w:space="1" w:color="auto"/>
      </w:pBdr>
      <w:spacing w:before="200" w:after="280"/>
      <w:ind w:left="1008" w:right="1152"/>
    </w:pPr>
    <w:rPr>
      <w:b/>
      <w:bCs/>
      <w:i/>
      <w:iCs/>
      <w:sz w:val="22"/>
      <w:lang w:val="fr-FR" w:eastAsia="fr-FR" w:bidi="en-US"/>
    </w:rPr>
  </w:style>
  <w:style w:type="character" w:customStyle="1" w:styleId="CitationintenseCar">
    <w:name w:val="Citation intense Car"/>
    <w:basedOn w:val="Policepardfaut"/>
    <w:link w:val="Citationintense"/>
    <w:uiPriority w:val="99"/>
    <w:semiHidden/>
    <w:rsid w:val="004C1AE4"/>
    <w:rPr>
      <w:rFonts w:eastAsiaTheme="minorEastAsia"/>
      <w:b/>
      <w:bCs/>
      <w:i/>
      <w:iCs/>
      <w:lang w:bidi="en-US"/>
    </w:rPr>
  </w:style>
  <w:style w:type="character" w:styleId="Rfrenceintense">
    <w:name w:val="Intense Reference"/>
    <w:uiPriority w:val="99"/>
    <w:semiHidden/>
    <w:qFormat/>
    <w:rsid w:val="004C1AE4"/>
    <w:rPr>
      <w:smallCaps/>
      <w:spacing w:val="5"/>
      <w:u w:val="single"/>
    </w:rPr>
  </w:style>
  <w:style w:type="paragraph" w:customStyle="1" w:styleId="OpiParaSub">
    <w:name w:val="Opi_Para_Sub"/>
    <w:basedOn w:val="JuParaSub"/>
    <w:uiPriority w:val="47"/>
    <w:qFormat/>
    <w:rsid w:val="004C1AE4"/>
  </w:style>
  <w:style w:type="paragraph" w:customStyle="1" w:styleId="OpiQuot">
    <w:name w:val="Opi_Quot"/>
    <w:basedOn w:val="ECHRParaQuote"/>
    <w:uiPriority w:val="48"/>
    <w:qFormat/>
    <w:rsid w:val="004C1AE4"/>
  </w:style>
  <w:style w:type="paragraph" w:customStyle="1" w:styleId="OpiQuotSub">
    <w:name w:val="Opi_Quot_Sub"/>
    <w:basedOn w:val="JuQuotSub"/>
    <w:uiPriority w:val="49"/>
    <w:qFormat/>
    <w:rsid w:val="004C1AE4"/>
  </w:style>
  <w:style w:type="paragraph" w:customStyle="1" w:styleId="JuTitle">
    <w:name w:val="Ju_Title"/>
    <w:basedOn w:val="Normal"/>
    <w:next w:val="ECHRPara"/>
    <w:uiPriority w:val="3"/>
    <w:rsid w:val="004C1AE4"/>
    <w:pPr>
      <w:spacing w:before="720" w:after="240"/>
      <w:jc w:val="center"/>
      <w:outlineLvl w:val="0"/>
    </w:pPr>
    <w:rPr>
      <w:rFonts w:asciiTheme="majorHAnsi" w:hAnsiTheme="majorHAnsi"/>
      <w:b/>
      <w:caps/>
    </w:rPr>
  </w:style>
  <w:style w:type="paragraph" w:customStyle="1" w:styleId="JuQuotSub">
    <w:name w:val="Ju_Quot_Sub"/>
    <w:basedOn w:val="ECHRParaQuote"/>
    <w:uiPriority w:val="15"/>
    <w:qFormat/>
    <w:rsid w:val="004C1AE4"/>
    <w:pPr>
      <w:ind w:left="567"/>
    </w:pPr>
  </w:style>
  <w:style w:type="paragraph" w:customStyle="1" w:styleId="JuInitialled">
    <w:name w:val="Ju_Initialled"/>
    <w:basedOn w:val="Normal"/>
    <w:uiPriority w:val="31"/>
    <w:qFormat/>
    <w:rsid w:val="004C1AE4"/>
    <w:pPr>
      <w:tabs>
        <w:tab w:val="center" w:pos="6407"/>
      </w:tabs>
      <w:spacing w:before="720"/>
      <w:jc w:val="right"/>
    </w:pPr>
    <w:rPr>
      <w:lang w:val="fr-FR" w:eastAsia="fr-FR"/>
    </w:rPr>
  </w:style>
  <w:style w:type="paragraph" w:styleId="Paragraphedeliste">
    <w:name w:val="List Paragraph"/>
    <w:basedOn w:val="Normal"/>
    <w:uiPriority w:val="99"/>
    <w:semiHidden/>
    <w:qFormat/>
    <w:rsid w:val="004C1AE4"/>
    <w:pPr>
      <w:ind w:left="720"/>
      <w:contextualSpacing/>
    </w:pPr>
    <w:rPr>
      <w:lang w:val="fr-FR" w:eastAsia="fr-FR"/>
    </w:rPr>
  </w:style>
  <w:style w:type="paragraph" w:styleId="Citation">
    <w:name w:val="Quote"/>
    <w:basedOn w:val="Normal"/>
    <w:next w:val="Normal"/>
    <w:link w:val="CitationCar"/>
    <w:uiPriority w:val="99"/>
    <w:semiHidden/>
    <w:qFormat/>
    <w:rsid w:val="004C1AE4"/>
    <w:pPr>
      <w:spacing w:before="200"/>
      <w:ind w:left="360" w:right="360"/>
    </w:pPr>
    <w:rPr>
      <w:i/>
      <w:iCs/>
      <w:sz w:val="22"/>
      <w:lang w:val="fr-FR" w:eastAsia="fr-FR" w:bidi="en-US"/>
    </w:rPr>
  </w:style>
  <w:style w:type="character" w:customStyle="1" w:styleId="CitationCar">
    <w:name w:val="Citation Car"/>
    <w:basedOn w:val="Policepardfaut"/>
    <w:link w:val="Citation"/>
    <w:uiPriority w:val="99"/>
    <w:semiHidden/>
    <w:rsid w:val="004C1AE4"/>
    <w:rPr>
      <w:rFonts w:eastAsiaTheme="minorEastAsia"/>
      <w:i/>
      <w:iCs/>
      <w:lang w:bidi="en-US"/>
    </w:rPr>
  </w:style>
  <w:style w:type="character" w:styleId="Rfrenceple">
    <w:name w:val="Subtle Reference"/>
    <w:uiPriority w:val="99"/>
    <w:semiHidden/>
    <w:qFormat/>
    <w:rsid w:val="004C1AE4"/>
    <w:rPr>
      <w:smallCaps/>
    </w:rPr>
  </w:style>
  <w:style w:type="table" w:styleId="Grille">
    <w:name w:val="Table Grid"/>
    <w:basedOn w:val="TableauNormal"/>
    <w:uiPriority w:val="59"/>
    <w:semiHidden/>
    <w:rsid w:val="004C1AE4"/>
    <w:rPr>
      <w:rFonts w:eastAsiaTheme="minorEastAs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1">
    <w:name w:val="toc 1"/>
    <w:basedOn w:val="Normal"/>
    <w:next w:val="Normal"/>
    <w:autoRedefine/>
    <w:uiPriority w:val="99"/>
    <w:semiHidden/>
    <w:rsid w:val="004C1AE4"/>
    <w:pPr>
      <w:spacing w:before="120" w:after="60"/>
      <w:ind w:left="340" w:right="340" w:hanging="340"/>
    </w:pPr>
    <w:rPr>
      <w:color w:val="0D0D0D" w:themeColor="text1" w:themeTint="F2"/>
    </w:rPr>
  </w:style>
  <w:style w:type="paragraph" w:styleId="TM2">
    <w:name w:val="toc 2"/>
    <w:basedOn w:val="Normal"/>
    <w:next w:val="Normal"/>
    <w:autoRedefine/>
    <w:uiPriority w:val="99"/>
    <w:semiHidden/>
    <w:rsid w:val="004C1AE4"/>
    <w:pPr>
      <w:spacing w:after="60"/>
      <w:ind w:left="680" w:right="340" w:hanging="340"/>
    </w:pPr>
  </w:style>
  <w:style w:type="paragraph" w:styleId="TM3">
    <w:name w:val="toc 3"/>
    <w:basedOn w:val="Normal"/>
    <w:next w:val="Normal"/>
    <w:autoRedefine/>
    <w:uiPriority w:val="99"/>
    <w:semiHidden/>
    <w:rsid w:val="004C1AE4"/>
    <w:pPr>
      <w:spacing w:after="60"/>
      <w:ind w:left="1020" w:right="340" w:hanging="340"/>
    </w:pPr>
  </w:style>
  <w:style w:type="paragraph" w:styleId="TM4">
    <w:name w:val="toc 4"/>
    <w:basedOn w:val="Normal"/>
    <w:next w:val="Normal"/>
    <w:autoRedefine/>
    <w:uiPriority w:val="99"/>
    <w:semiHidden/>
    <w:rsid w:val="004C1AE4"/>
    <w:pPr>
      <w:tabs>
        <w:tab w:val="right" w:leader="dot" w:pos="9017"/>
      </w:tabs>
      <w:spacing w:after="60"/>
      <w:ind w:left="1361" w:right="340" w:hanging="340"/>
    </w:pPr>
  </w:style>
  <w:style w:type="paragraph" w:styleId="TM5">
    <w:name w:val="toc 5"/>
    <w:basedOn w:val="Normal"/>
    <w:next w:val="Normal"/>
    <w:autoRedefine/>
    <w:uiPriority w:val="99"/>
    <w:semiHidden/>
    <w:rsid w:val="004C1AE4"/>
    <w:pPr>
      <w:spacing w:after="60"/>
      <w:ind w:left="1701" w:right="340" w:hanging="340"/>
    </w:pPr>
  </w:style>
  <w:style w:type="paragraph" w:styleId="En-ttedetabledesmatires">
    <w:name w:val="TOC Heading"/>
    <w:basedOn w:val="Titre1"/>
    <w:next w:val="Normal"/>
    <w:uiPriority w:val="99"/>
    <w:semiHidden/>
    <w:qFormat/>
    <w:rsid w:val="004C1AE4"/>
    <w:pPr>
      <w:outlineLvl w:val="9"/>
    </w:pPr>
    <w:rPr>
      <w:color w:val="474747" w:themeColor="accent3" w:themeShade="BF"/>
      <w:lang w:val="fr-FR" w:eastAsia="fr-FR"/>
    </w:rPr>
  </w:style>
  <w:style w:type="paragraph" w:customStyle="1" w:styleId="ECHRTitleCentre3">
    <w:name w:val="ECHR_Title_Centre_3"/>
    <w:aliases w:val="Ju_H_Article"/>
    <w:basedOn w:val="Normal"/>
    <w:next w:val="ECHRParaQuote"/>
    <w:uiPriority w:val="27"/>
    <w:qFormat/>
    <w:rsid w:val="004C1AE4"/>
    <w:pPr>
      <w:keepNext/>
      <w:keepLines/>
      <w:spacing w:before="240" w:after="120"/>
      <w:jc w:val="center"/>
      <w:outlineLvl w:val="3"/>
    </w:pPr>
    <w:rPr>
      <w:rFonts w:asciiTheme="majorHAnsi" w:hAnsiTheme="majorHAnsi"/>
      <w:b/>
      <w:sz w:val="20"/>
      <w:lang w:val="fr-FR" w:eastAsia="fr-FR" w:bidi="en-US"/>
    </w:rPr>
  </w:style>
  <w:style w:type="paragraph" w:customStyle="1" w:styleId="ECHRTitleCentre2">
    <w:name w:val="ECHR_Title_Centre_2"/>
    <w:aliases w:val="Dec_H_Case"/>
    <w:basedOn w:val="Normal"/>
    <w:next w:val="ECHRPara"/>
    <w:uiPriority w:val="8"/>
    <w:rsid w:val="004C1AE4"/>
    <w:pPr>
      <w:spacing w:after="240"/>
      <w:jc w:val="center"/>
      <w:outlineLvl w:val="0"/>
    </w:pPr>
    <w:rPr>
      <w:rFonts w:asciiTheme="majorHAnsi" w:hAnsiTheme="majorHAnsi"/>
    </w:rPr>
  </w:style>
  <w:style w:type="paragraph" w:customStyle="1" w:styleId="OpiHA">
    <w:name w:val="Opi_H_A"/>
    <w:basedOn w:val="ECHRHeading1"/>
    <w:next w:val="OpiPara"/>
    <w:uiPriority w:val="41"/>
    <w:qFormat/>
    <w:rsid w:val="004C1AE4"/>
    <w:pPr>
      <w:tabs>
        <w:tab w:val="clear" w:pos="357"/>
      </w:tabs>
      <w:outlineLvl w:val="1"/>
    </w:pPr>
    <w:rPr>
      <w:b/>
    </w:rPr>
  </w:style>
  <w:style w:type="paragraph" w:customStyle="1" w:styleId="ECHRTitleCentre1">
    <w:name w:val="ECHR_Title_Centre_1"/>
    <w:aliases w:val="Opi_H_Head"/>
    <w:basedOn w:val="Normal"/>
    <w:next w:val="OpiPara"/>
    <w:uiPriority w:val="39"/>
    <w:qFormat/>
    <w:rsid w:val="004C1AE4"/>
    <w:pPr>
      <w:keepNext/>
      <w:keepLines/>
      <w:spacing w:after="240"/>
      <w:jc w:val="center"/>
      <w:outlineLvl w:val="0"/>
    </w:pPr>
    <w:rPr>
      <w:rFonts w:asciiTheme="majorHAnsi" w:hAnsiTheme="majorHAnsi"/>
      <w:sz w:val="28"/>
      <w:lang w:val="fr-FR" w:eastAsia="fr-FR"/>
    </w:rPr>
  </w:style>
  <w:style w:type="character" w:customStyle="1" w:styleId="JUNAMES">
    <w:name w:val="JU_NAMES"/>
    <w:uiPriority w:val="17"/>
    <w:qFormat/>
    <w:rsid w:val="004C1AE4"/>
    <w:rPr>
      <w:caps w:val="0"/>
      <w:smallCaps/>
    </w:rPr>
  </w:style>
  <w:style w:type="character" w:customStyle="1" w:styleId="JuITMark">
    <w:name w:val="Ju_ITMark"/>
    <w:basedOn w:val="Policepardfaut"/>
    <w:uiPriority w:val="38"/>
    <w:qFormat/>
    <w:rsid w:val="004C1AE4"/>
    <w:rPr>
      <w:vanish w:val="0"/>
      <w:color w:val="auto"/>
      <w:sz w:val="14"/>
    </w:rPr>
  </w:style>
  <w:style w:type="paragraph" w:customStyle="1" w:styleId="OpiTranslation">
    <w:name w:val="Opi_Translation"/>
    <w:basedOn w:val="Normal"/>
    <w:next w:val="OpiPara"/>
    <w:uiPriority w:val="40"/>
    <w:qFormat/>
    <w:rsid w:val="004C1AE4"/>
    <w:pPr>
      <w:jc w:val="center"/>
      <w:outlineLvl w:val="0"/>
    </w:pPr>
    <w:rPr>
      <w:i/>
      <w:lang w:val="fr-FR" w:eastAsia="fr-FR"/>
    </w:rPr>
  </w:style>
  <w:style w:type="paragraph" w:customStyle="1" w:styleId="DecHTitle">
    <w:name w:val="Dec_H_Title"/>
    <w:basedOn w:val="ECHRTitleCentre1"/>
    <w:uiPriority w:val="7"/>
    <w:rsid w:val="004C1AE4"/>
  </w:style>
  <w:style w:type="paragraph" w:customStyle="1" w:styleId="JuCourt">
    <w:name w:val="Ju_Court"/>
    <w:basedOn w:val="Normal"/>
    <w:next w:val="Normal"/>
    <w:uiPriority w:val="16"/>
    <w:qFormat/>
    <w:rsid w:val="004C1AE4"/>
    <w:pPr>
      <w:tabs>
        <w:tab w:val="left" w:pos="907"/>
        <w:tab w:val="left" w:pos="1701"/>
        <w:tab w:val="right" w:pos="7371"/>
      </w:tabs>
      <w:spacing w:before="240"/>
      <w:ind w:left="397" w:hanging="397"/>
      <w:jc w:val="left"/>
    </w:pPr>
    <w:rPr>
      <w:lang w:val="fr-FR" w:eastAsia="fr-FR" w:bidi="en-US"/>
    </w:rPr>
  </w:style>
  <w:style w:type="paragraph" w:customStyle="1" w:styleId="DecList">
    <w:name w:val="Dec_List"/>
    <w:basedOn w:val="Normal"/>
    <w:uiPriority w:val="9"/>
    <w:rsid w:val="004C1AE4"/>
    <w:pPr>
      <w:spacing w:before="240"/>
      <w:ind w:left="284"/>
    </w:pPr>
  </w:style>
  <w:style w:type="paragraph" w:styleId="Titredetablederfrences">
    <w:name w:val="toa heading"/>
    <w:basedOn w:val="Normal"/>
    <w:next w:val="Normal"/>
    <w:uiPriority w:val="99"/>
    <w:semiHidden/>
    <w:rsid w:val="004C1AE4"/>
    <w:pPr>
      <w:spacing w:before="120"/>
    </w:pPr>
    <w:rPr>
      <w:rFonts w:asciiTheme="majorHAnsi" w:eastAsiaTheme="majorEastAsia" w:hAnsiTheme="majorHAnsi" w:cstheme="majorBidi"/>
      <w:b/>
      <w:bCs/>
      <w:color w:val="474747" w:themeColor="accent3" w:themeShade="BF"/>
      <w:szCs w:val="24"/>
    </w:rPr>
  </w:style>
  <w:style w:type="paragraph" w:customStyle="1" w:styleId="ECHRHeading3">
    <w:name w:val="ECHR_Heading_3"/>
    <w:aliases w:val="Ju_H_1."/>
    <w:basedOn w:val="Titre3"/>
    <w:next w:val="ECHRPara"/>
    <w:link w:val="JuH1Char"/>
    <w:uiPriority w:val="21"/>
    <w:qFormat/>
    <w:rsid w:val="004C1AE4"/>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Titre4"/>
    <w:next w:val="ECHRPara"/>
    <w:link w:val="JuHaChar"/>
    <w:uiPriority w:val="22"/>
    <w:qFormat/>
    <w:rsid w:val="004C1AE4"/>
    <w:pPr>
      <w:keepNext/>
      <w:keepLines/>
      <w:tabs>
        <w:tab w:val="left" w:pos="975"/>
      </w:tabs>
      <w:spacing w:before="240" w:after="120"/>
      <w:ind w:left="975" w:hanging="340"/>
    </w:pPr>
    <w:rPr>
      <w:i w:val="0"/>
      <w:color w:val="auto"/>
      <w:sz w:val="20"/>
      <w:lang w:val="fr-FR" w:eastAsia="fr-FR"/>
    </w:rPr>
  </w:style>
  <w:style w:type="paragraph" w:customStyle="1" w:styleId="ECHRHeading5">
    <w:name w:val="ECHR_Heading_5"/>
    <w:aliases w:val="Ju_H_i"/>
    <w:basedOn w:val="Titre5"/>
    <w:next w:val="ECHRPara"/>
    <w:uiPriority w:val="23"/>
    <w:qFormat/>
    <w:rsid w:val="004C1AE4"/>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re6"/>
    <w:next w:val="ECHRPara"/>
    <w:uiPriority w:val="24"/>
    <w:qFormat/>
    <w:rsid w:val="004C1AE4"/>
    <w:pPr>
      <w:keepNext/>
      <w:keepLines/>
      <w:tabs>
        <w:tab w:val="left" w:pos="1372"/>
      </w:tabs>
      <w:spacing w:before="240" w:after="120" w:line="240" w:lineRule="auto"/>
      <w:ind w:left="1373" w:hanging="335"/>
    </w:pPr>
    <w:rPr>
      <w:b w:val="0"/>
      <w:color w:val="auto"/>
      <w:sz w:val="20"/>
      <w:lang w:val="fr-FR" w:eastAsia="fr-FR"/>
    </w:rPr>
  </w:style>
  <w:style w:type="paragraph" w:customStyle="1" w:styleId="ECHRHeading7">
    <w:name w:val="ECHR_Heading_7"/>
    <w:aliases w:val="Ju_H_–"/>
    <w:basedOn w:val="Titre7"/>
    <w:next w:val="ECHRPara"/>
    <w:uiPriority w:val="25"/>
    <w:qFormat/>
    <w:rsid w:val="004C1AE4"/>
    <w:pPr>
      <w:keepNext/>
      <w:keepLines/>
      <w:spacing w:before="240" w:after="120"/>
      <w:ind w:left="1236"/>
    </w:pPr>
    <w:rPr>
      <w:sz w:val="20"/>
    </w:rPr>
  </w:style>
  <w:style w:type="paragraph" w:customStyle="1" w:styleId="OpiH1">
    <w:name w:val="Opi_H_1"/>
    <w:basedOn w:val="ECHRHeading2"/>
    <w:uiPriority w:val="42"/>
    <w:qFormat/>
    <w:rsid w:val="004C1AE4"/>
    <w:pPr>
      <w:ind w:left="635" w:hanging="357"/>
      <w:outlineLvl w:val="2"/>
    </w:pPr>
  </w:style>
  <w:style w:type="paragraph" w:customStyle="1" w:styleId="OpiHa0">
    <w:name w:val="Opi_H_a"/>
    <w:basedOn w:val="ECHRHeading3"/>
    <w:uiPriority w:val="43"/>
    <w:qFormat/>
    <w:rsid w:val="004C1AE4"/>
    <w:pPr>
      <w:ind w:left="833" w:hanging="357"/>
      <w:outlineLvl w:val="3"/>
    </w:pPr>
    <w:rPr>
      <w:b/>
      <w:i w:val="0"/>
      <w:sz w:val="20"/>
    </w:rPr>
  </w:style>
  <w:style w:type="paragraph" w:customStyle="1" w:styleId="OpiHi">
    <w:name w:val="Opi_H_i"/>
    <w:basedOn w:val="ECHRHeading4"/>
    <w:uiPriority w:val="44"/>
    <w:qFormat/>
    <w:rsid w:val="004C1AE4"/>
    <w:pPr>
      <w:ind w:left="1037" w:hanging="357"/>
      <w:outlineLvl w:val="4"/>
    </w:pPr>
    <w:rPr>
      <w:b w:val="0"/>
      <w:i/>
    </w:rPr>
  </w:style>
  <w:style w:type="table" w:customStyle="1" w:styleId="ECHRListTable">
    <w:name w:val="ECHR_List_Table"/>
    <w:basedOn w:val="TableauNormal"/>
    <w:uiPriority w:val="99"/>
    <w:rsid w:val="004C1AE4"/>
    <w:rPr>
      <w:lang w:val="en-US" w:eastAsia="en-US"/>
    </w:rPr>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Aucuneliste"/>
    <w:uiPriority w:val="99"/>
    <w:semiHidden/>
    <w:rsid w:val="000C4043"/>
    <w:pPr>
      <w:numPr>
        <w:numId w:val="3"/>
      </w:numPr>
    </w:pPr>
  </w:style>
  <w:style w:type="numbering" w:styleId="1ai">
    <w:name w:val="Outline List 1"/>
    <w:basedOn w:val="Aucuneliste"/>
    <w:uiPriority w:val="99"/>
    <w:semiHidden/>
    <w:rsid w:val="000C4043"/>
    <w:pPr>
      <w:numPr>
        <w:numId w:val="4"/>
      </w:numPr>
    </w:pPr>
  </w:style>
  <w:style w:type="numbering" w:styleId="ArticleSection">
    <w:name w:val="Outline List 3"/>
    <w:basedOn w:val="Aucuneliste"/>
    <w:uiPriority w:val="99"/>
    <w:semiHidden/>
    <w:rsid w:val="000C4043"/>
    <w:pPr>
      <w:numPr>
        <w:numId w:val="5"/>
      </w:numPr>
    </w:pPr>
  </w:style>
  <w:style w:type="paragraph" w:styleId="Bibliographie">
    <w:name w:val="Bibliography"/>
    <w:basedOn w:val="Normal"/>
    <w:next w:val="Normal"/>
    <w:uiPriority w:val="99"/>
    <w:semiHidden/>
    <w:unhideWhenUsed/>
    <w:rsid w:val="000C4043"/>
  </w:style>
  <w:style w:type="paragraph" w:styleId="Normalcentr">
    <w:name w:val="Block Text"/>
    <w:basedOn w:val="Normal"/>
    <w:uiPriority w:val="99"/>
    <w:semiHidden/>
    <w:rsid w:val="000C404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sdetexte">
    <w:name w:val="Body Text"/>
    <w:basedOn w:val="Normal"/>
    <w:link w:val="CorpsdetexteCar"/>
    <w:uiPriority w:val="99"/>
    <w:semiHidden/>
    <w:rsid w:val="000C4043"/>
    <w:pPr>
      <w:spacing w:after="120"/>
    </w:pPr>
  </w:style>
  <w:style w:type="character" w:customStyle="1" w:styleId="CorpsdetexteCar">
    <w:name w:val="Corps de texte Car"/>
    <w:basedOn w:val="Policepardfaut"/>
    <w:link w:val="Corpsdetexte"/>
    <w:rsid w:val="000C4043"/>
    <w:rPr>
      <w:rFonts w:eastAsiaTheme="minorEastAsia"/>
      <w:sz w:val="24"/>
      <w:lang w:val="en-US" w:eastAsia="en-US"/>
    </w:rPr>
  </w:style>
  <w:style w:type="paragraph" w:styleId="Corpsdetexte2">
    <w:name w:val="Body Text 2"/>
    <w:basedOn w:val="Normal"/>
    <w:link w:val="Corpsdetexte2Car"/>
    <w:uiPriority w:val="99"/>
    <w:semiHidden/>
    <w:rsid w:val="000C4043"/>
    <w:pPr>
      <w:spacing w:after="120" w:line="480" w:lineRule="auto"/>
    </w:pPr>
  </w:style>
  <w:style w:type="character" w:customStyle="1" w:styleId="Corpsdetexte2Car">
    <w:name w:val="Corps de texte 2 Car"/>
    <w:basedOn w:val="Policepardfaut"/>
    <w:link w:val="Corpsdetexte2"/>
    <w:rsid w:val="000C4043"/>
    <w:rPr>
      <w:rFonts w:eastAsiaTheme="minorEastAsia"/>
      <w:sz w:val="24"/>
      <w:lang w:val="en-US" w:eastAsia="en-US"/>
    </w:rPr>
  </w:style>
  <w:style w:type="paragraph" w:styleId="Corpsdetexte3">
    <w:name w:val="Body Text 3"/>
    <w:basedOn w:val="Normal"/>
    <w:link w:val="Corpsdetexte3Car"/>
    <w:uiPriority w:val="99"/>
    <w:semiHidden/>
    <w:rsid w:val="000C4043"/>
    <w:pPr>
      <w:spacing w:after="120"/>
    </w:pPr>
    <w:rPr>
      <w:sz w:val="16"/>
      <w:szCs w:val="16"/>
    </w:rPr>
  </w:style>
  <w:style w:type="character" w:customStyle="1" w:styleId="Corpsdetexte3Car">
    <w:name w:val="Corps de texte 3 Car"/>
    <w:basedOn w:val="Policepardfaut"/>
    <w:link w:val="Corpsdetexte3"/>
    <w:rsid w:val="000C4043"/>
    <w:rPr>
      <w:rFonts w:eastAsiaTheme="minorEastAsia"/>
      <w:sz w:val="16"/>
      <w:szCs w:val="16"/>
      <w:lang w:val="en-US" w:eastAsia="en-US"/>
    </w:rPr>
  </w:style>
  <w:style w:type="paragraph" w:styleId="Retrait1religne">
    <w:name w:val="Body Text First Indent"/>
    <w:basedOn w:val="Corpsdetexte"/>
    <w:link w:val="Retrait1religneCar"/>
    <w:uiPriority w:val="99"/>
    <w:semiHidden/>
    <w:rsid w:val="000C4043"/>
    <w:pPr>
      <w:spacing w:after="0"/>
      <w:ind w:firstLine="360"/>
    </w:pPr>
  </w:style>
  <w:style w:type="character" w:customStyle="1" w:styleId="Retrait1religneCar">
    <w:name w:val="Retrait 1ère ligne Car"/>
    <w:basedOn w:val="CorpsdetexteCar"/>
    <w:link w:val="Retrait1religne"/>
    <w:rsid w:val="000C4043"/>
    <w:rPr>
      <w:rFonts w:eastAsiaTheme="minorEastAsia"/>
      <w:sz w:val="24"/>
      <w:lang w:val="en-US" w:eastAsia="en-US"/>
    </w:rPr>
  </w:style>
  <w:style w:type="paragraph" w:styleId="Retraitcorpsdetexte">
    <w:name w:val="Body Text Indent"/>
    <w:basedOn w:val="Normal"/>
    <w:link w:val="RetraitcorpsdetexteCar"/>
    <w:uiPriority w:val="99"/>
    <w:semiHidden/>
    <w:rsid w:val="000C4043"/>
    <w:pPr>
      <w:spacing w:after="120"/>
      <w:ind w:left="283"/>
    </w:pPr>
  </w:style>
  <w:style w:type="character" w:customStyle="1" w:styleId="RetraitcorpsdetexteCar">
    <w:name w:val="Retrait corps de texte Car"/>
    <w:basedOn w:val="Policepardfaut"/>
    <w:link w:val="Retraitcorpsdetexte"/>
    <w:rsid w:val="000C4043"/>
    <w:rPr>
      <w:rFonts w:eastAsiaTheme="minorEastAsia"/>
      <w:sz w:val="24"/>
      <w:lang w:val="en-US" w:eastAsia="en-US"/>
    </w:rPr>
  </w:style>
  <w:style w:type="paragraph" w:styleId="Retraitcorpset1relig">
    <w:name w:val="Body Text First Indent 2"/>
    <w:basedOn w:val="Retraitcorpsdetexte"/>
    <w:link w:val="Retraitcorpset1religCar"/>
    <w:uiPriority w:val="99"/>
    <w:semiHidden/>
    <w:rsid w:val="000C4043"/>
    <w:pPr>
      <w:spacing w:after="0"/>
      <w:ind w:left="360" w:firstLine="360"/>
    </w:pPr>
  </w:style>
  <w:style w:type="character" w:customStyle="1" w:styleId="Retraitcorpset1religCar">
    <w:name w:val="Retrait corps et 1ère lig. Car"/>
    <w:basedOn w:val="RetraitcorpsdetexteCar"/>
    <w:link w:val="Retraitcorpset1relig"/>
    <w:rsid w:val="000C4043"/>
    <w:rPr>
      <w:rFonts w:eastAsiaTheme="minorEastAsia"/>
      <w:sz w:val="24"/>
      <w:lang w:val="en-US" w:eastAsia="en-US"/>
    </w:rPr>
  </w:style>
  <w:style w:type="paragraph" w:styleId="Retraitcorpsdetexte2">
    <w:name w:val="Body Text Indent 2"/>
    <w:basedOn w:val="Normal"/>
    <w:link w:val="Retraitcorpsdetexte2Car"/>
    <w:uiPriority w:val="99"/>
    <w:semiHidden/>
    <w:rsid w:val="000C4043"/>
    <w:pPr>
      <w:spacing w:after="120" w:line="480" w:lineRule="auto"/>
      <w:ind w:left="283"/>
    </w:pPr>
  </w:style>
  <w:style w:type="character" w:customStyle="1" w:styleId="Retraitcorpsdetexte2Car">
    <w:name w:val="Retrait corps de texte 2 Car"/>
    <w:basedOn w:val="Policepardfaut"/>
    <w:link w:val="Retraitcorpsdetexte2"/>
    <w:rsid w:val="000C4043"/>
    <w:rPr>
      <w:rFonts w:eastAsiaTheme="minorEastAsia"/>
      <w:sz w:val="24"/>
      <w:lang w:val="en-US" w:eastAsia="en-US"/>
    </w:rPr>
  </w:style>
  <w:style w:type="paragraph" w:styleId="Retraitcorpsdetexte3">
    <w:name w:val="Body Text Indent 3"/>
    <w:basedOn w:val="Normal"/>
    <w:link w:val="Retraitcorpsdetexte3Car"/>
    <w:uiPriority w:val="99"/>
    <w:semiHidden/>
    <w:rsid w:val="000C4043"/>
    <w:pPr>
      <w:spacing w:after="120"/>
      <w:ind w:left="283"/>
    </w:pPr>
    <w:rPr>
      <w:sz w:val="16"/>
      <w:szCs w:val="16"/>
    </w:rPr>
  </w:style>
  <w:style w:type="character" w:customStyle="1" w:styleId="Retraitcorpsdetexte3Car">
    <w:name w:val="Retrait corps de texte 3 Car"/>
    <w:basedOn w:val="Policepardfaut"/>
    <w:link w:val="Retraitcorpsdetexte3"/>
    <w:rsid w:val="000C4043"/>
    <w:rPr>
      <w:rFonts w:eastAsiaTheme="minorEastAsia"/>
      <w:sz w:val="16"/>
      <w:szCs w:val="16"/>
      <w:lang w:val="en-US" w:eastAsia="en-US"/>
    </w:rPr>
  </w:style>
  <w:style w:type="paragraph" w:styleId="Lgende">
    <w:name w:val="caption"/>
    <w:basedOn w:val="Normal"/>
    <w:next w:val="Normal"/>
    <w:uiPriority w:val="99"/>
    <w:semiHidden/>
    <w:qFormat/>
    <w:rsid w:val="000C4043"/>
    <w:pPr>
      <w:spacing w:after="200"/>
    </w:pPr>
    <w:rPr>
      <w:b/>
      <w:bCs/>
      <w:color w:val="0072BC" w:themeColor="accent1"/>
      <w:sz w:val="18"/>
      <w:szCs w:val="18"/>
      <w:lang w:val="fr-FR" w:eastAsia="fr-FR"/>
    </w:rPr>
  </w:style>
  <w:style w:type="paragraph" w:styleId="Formulepolitesse">
    <w:name w:val="Closing"/>
    <w:basedOn w:val="Normal"/>
    <w:link w:val="FormulepolitesseCar"/>
    <w:uiPriority w:val="99"/>
    <w:semiHidden/>
    <w:rsid w:val="000C4043"/>
    <w:pPr>
      <w:ind w:left="4252"/>
    </w:pPr>
  </w:style>
  <w:style w:type="character" w:customStyle="1" w:styleId="FormulepolitesseCar">
    <w:name w:val="Formule politesse Car"/>
    <w:basedOn w:val="Policepardfaut"/>
    <w:link w:val="Formulepolitesse"/>
    <w:rsid w:val="000C4043"/>
    <w:rPr>
      <w:rFonts w:eastAsiaTheme="minorEastAsia"/>
      <w:sz w:val="24"/>
      <w:lang w:val="en-US" w:eastAsia="en-US"/>
    </w:rPr>
  </w:style>
  <w:style w:type="table" w:styleId="Grillecouleur">
    <w:name w:val="Colorful Grid"/>
    <w:basedOn w:val="TableauNormal"/>
    <w:uiPriority w:val="99"/>
    <w:semiHidden/>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99"/>
    <w:semiHidden/>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llecouleur-Accent2">
    <w:name w:val="Colorful Grid Accent 2"/>
    <w:basedOn w:val="TableauNormal"/>
    <w:uiPriority w:val="99"/>
    <w:semiHidden/>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llecouleur-Accent3">
    <w:name w:val="Colorful Grid Accent 3"/>
    <w:basedOn w:val="TableauNormal"/>
    <w:uiPriority w:val="99"/>
    <w:semiHidden/>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llecouleur-Accent4">
    <w:name w:val="Colorful Grid Accent 4"/>
    <w:basedOn w:val="TableauNormal"/>
    <w:uiPriority w:val="99"/>
    <w:semiHidden/>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llecouleur-Accent5">
    <w:name w:val="Colorful Grid Accent 5"/>
    <w:basedOn w:val="TableauNormal"/>
    <w:uiPriority w:val="99"/>
    <w:semiHidden/>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llecouleur-Accent6">
    <w:name w:val="Colorful Grid Accent 6"/>
    <w:basedOn w:val="TableauNormal"/>
    <w:uiPriority w:val="99"/>
    <w:semiHidden/>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Listecouleur">
    <w:name w:val="Colorful List"/>
    <w:basedOn w:val="TableauNormal"/>
    <w:uiPriority w:val="99"/>
    <w:semiHidden/>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99"/>
    <w:semiHidden/>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Listecouleur-Accent2">
    <w:name w:val="Colorful List Accent 2"/>
    <w:basedOn w:val="TableauNormal"/>
    <w:uiPriority w:val="99"/>
    <w:semiHidden/>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Listecouleur-Accent3">
    <w:name w:val="Colorful List Accent 3"/>
    <w:basedOn w:val="TableauNormal"/>
    <w:uiPriority w:val="99"/>
    <w:semiHidden/>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Listecouleur-Accent4">
    <w:name w:val="Colorful List Accent 4"/>
    <w:basedOn w:val="TableauNormal"/>
    <w:uiPriority w:val="99"/>
    <w:semiHidden/>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Listecouleur-Accent5">
    <w:name w:val="Colorful List Accent 5"/>
    <w:basedOn w:val="TableauNormal"/>
    <w:uiPriority w:val="99"/>
    <w:semiHidden/>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Listecouleur-Accent6">
    <w:name w:val="Colorful List Accent 6"/>
    <w:basedOn w:val="TableauNormal"/>
    <w:uiPriority w:val="99"/>
    <w:semiHidden/>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Tramecouleur">
    <w:name w:val="Colorful Shading"/>
    <w:basedOn w:val="TableauNormal"/>
    <w:uiPriority w:val="99"/>
    <w:semiHidden/>
    <w:rsid w:val="000C4043"/>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99"/>
    <w:semiHidden/>
    <w:rsid w:val="000C4043"/>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99"/>
    <w:semiHidden/>
    <w:rsid w:val="000C4043"/>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99"/>
    <w:semiHidden/>
    <w:rsid w:val="000C4043"/>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Tramecouleur-Accent4">
    <w:name w:val="Colorful Shading Accent 4"/>
    <w:basedOn w:val="TableauNormal"/>
    <w:uiPriority w:val="99"/>
    <w:semiHidden/>
    <w:rsid w:val="000C4043"/>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99"/>
    <w:semiHidden/>
    <w:rsid w:val="000C4043"/>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99"/>
    <w:semiHidden/>
    <w:rsid w:val="000C4043"/>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Listefonce">
    <w:name w:val="Dark List"/>
    <w:basedOn w:val="TableauNormal"/>
    <w:uiPriority w:val="99"/>
    <w:semiHidden/>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99"/>
    <w:semiHidden/>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Listefonce-Accent2">
    <w:name w:val="Dark List Accent 2"/>
    <w:basedOn w:val="TableauNormal"/>
    <w:uiPriority w:val="99"/>
    <w:semiHidden/>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Listefonce-Accent3">
    <w:name w:val="Dark List Accent 3"/>
    <w:basedOn w:val="TableauNormal"/>
    <w:uiPriority w:val="99"/>
    <w:semiHidden/>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Listefonce-Accent4">
    <w:name w:val="Dark List Accent 4"/>
    <w:basedOn w:val="TableauNormal"/>
    <w:uiPriority w:val="99"/>
    <w:semiHidden/>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Listefonce-Accent5">
    <w:name w:val="Dark List Accent 5"/>
    <w:basedOn w:val="TableauNormal"/>
    <w:uiPriority w:val="99"/>
    <w:semiHidden/>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Listefonce-Accent6">
    <w:name w:val="Dark List Accent 6"/>
    <w:basedOn w:val="TableauNormal"/>
    <w:uiPriority w:val="99"/>
    <w:semiHidden/>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ar"/>
    <w:uiPriority w:val="99"/>
    <w:semiHidden/>
    <w:rsid w:val="000C4043"/>
  </w:style>
  <w:style w:type="character" w:customStyle="1" w:styleId="DateCar">
    <w:name w:val="Date Car"/>
    <w:basedOn w:val="Policepardfaut"/>
    <w:link w:val="Date"/>
    <w:rsid w:val="000C4043"/>
    <w:rPr>
      <w:rFonts w:eastAsiaTheme="minorEastAsia"/>
      <w:sz w:val="24"/>
      <w:lang w:val="en-US" w:eastAsia="en-US"/>
    </w:rPr>
  </w:style>
  <w:style w:type="paragraph" w:styleId="Signaturelectronique">
    <w:name w:val="E-mail Signature"/>
    <w:basedOn w:val="Normal"/>
    <w:link w:val="SignaturelectroniqueCar"/>
    <w:uiPriority w:val="99"/>
    <w:semiHidden/>
    <w:rsid w:val="000C4043"/>
  </w:style>
  <w:style w:type="character" w:customStyle="1" w:styleId="SignaturelectroniqueCar">
    <w:name w:val="Signature électronique Car"/>
    <w:basedOn w:val="Policepardfaut"/>
    <w:link w:val="Signaturelectronique"/>
    <w:rsid w:val="000C4043"/>
    <w:rPr>
      <w:rFonts w:eastAsiaTheme="minorEastAsia"/>
      <w:sz w:val="24"/>
      <w:lang w:val="en-US" w:eastAsia="en-US"/>
    </w:rPr>
  </w:style>
  <w:style w:type="paragraph" w:styleId="Adressedestinataire">
    <w:name w:val="envelope address"/>
    <w:basedOn w:val="Normal"/>
    <w:uiPriority w:val="99"/>
    <w:semiHidden/>
    <w:rsid w:val="000C404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Adresseexpditeur">
    <w:name w:val="envelope return"/>
    <w:basedOn w:val="Normal"/>
    <w:uiPriority w:val="99"/>
    <w:semiHidden/>
    <w:rsid w:val="000C4043"/>
    <w:rPr>
      <w:rFonts w:asciiTheme="majorHAnsi" w:eastAsiaTheme="majorEastAsia" w:hAnsiTheme="majorHAnsi" w:cstheme="majorBidi"/>
      <w:sz w:val="20"/>
      <w:szCs w:val="20"/>
    </w:rPr>
  </w:style>
  <w:style w:type="character" w:styleId="AcronymeHTML">
    <w:name w:val="HTML Acronym"/>
    <w:basedOn w:val="Policepardfaut"/>
    <w:uiPriority w:val="99"/>
    <w:semiHidden/>
    <w:rsid w:val="000C4043"/>
  </w:style>
  <w:style w:type="paragraph" w:styleId="AdresseHTML">
    <w:name w:val="HTML Address"/>
    <w:basedOn w:val="Normal"/>
    <w:link w:val="AdresseHTMLCar"/>
    <w:uiPriority w:val="99"/>
    <w:semiHidden/>
    <w:rsid w:val="000C4043"/>
    <w:rPr>
      <w:i/>
      <w:iCs/>
    </w:rPr>
  </w:style>
  <w:style w:type="character" w:customStyle="1" w:styleId="AdresseHTMLCar">
    <w:name w:val="Adresse HTML Car"/>
    <w:basedOn w:val="Policepardfaut"/>
    <w:link w:val="AdresseHTML"/>
    <w:rsid w:val="000C4043"/>
    <w:rPr>
      <w:rFonts w:eastAsiaTheme="minorEastAsia"/>
      <w:i/>
      <w:iCs/>
      <w:sz w:val="24"/>
      <w:lang w:val="en-US" w:eastAsia="en-US"/>
    </w:rPr>
  </w:style>
  <w:style w:type="character" w:styleId="SiteHTML">
    <w:name w:val="HTML Cite"/>
    <w:basedOn w:val="Policepardfaut"/>
    <w:uiPriority w:val="99"/>
    <w:semiHidden/>
    <w:rsid w:val="000C4043"/>
    <w:rPr>
      <w:i/>
      <w:iCs/>
    </w:rPr>
  </w:style>
  <w:style w:type="character" w:styleId="CodeHTML">
    <w:name w:val="HTML Code"/>
    <w:basedOn w:val="Policepardfaut"/>
    <w:uiPriority w:val="99"/>
    <w:semiHidden/>
    <w:rsid w:val="000C4043"/>
    <w:rPr>
      <w:rFonts w:ascii="Consolas" w:hAnsi="Consolas" w:cs="Consolas"/>
      <w:sz w:val="20"/>
      <w:szCs w:val="20"/>
    </w:rPr>
  </w:style>
  <w:style w:type="character" w:styleId="DfinitionHTML">
    <w:name w:val="HTML Definition"/>
    <w:basedOn w:val="Policepardfaut"/>
    <w:uiPriority w:val="99"/>
    <w:semiHidden/>
    <w:rsid w:val="000C4043"/>
    <w:rPr>
      <w:i/>
      <w:iCs/>
    </w:rPr>
  </w:style>
  <w:style w:type="character" w:styleId="ClavierHTML">
    <w:name w:val="HTML Keyboard"/>
    <w:basedOn w:val="Policepardfaut"/>
    <w:uiPriority w:val="99"/>
    <w:semiHidden/>
    <w:rsid w:val="000C4043"/>
    <w:rPr>
      <w:rFonts w:ascii="Consolas" w:hAnsi="Consolas" w:cs="Consolas"/>
      <w:sz w:val="20"/>
      <w:szCs w:val="20"/>
    </w:rPr>
  </w:style>
  <w:style w:type="paragraph" w:styleId="HTMLprformat">
    <w:name w:val="HTML Preformatted"/>
    <w:basedOn w:val="Normal"/>
    <w:link w:val="HTMLprformatCar"/>
    <w:uiPriority w:val="99"/>
    <w:semiHidden/>
    <w:rsid w:val="000C4043"/>
    <w:rPr>
      <w:rFonts w:ascii="Consolas" w:hAnsi="Consolas" w:cs="Consolas"/>
      <w:sz w:val="20"/>
      <w:szCs w:val="20"/>
    </w:rPr>
  </w:style>
  <w:style w:type="character" w:customStyle="1" w:styleId="HTMLprformatCar">
    <w:name w:val="HTML préformaté Car"/>
    <w:basedOn w:val="Policepardfaut"/>
    <w:link w:val="HTMLprformat"/>
    <w:rsid w:val="000C4043"/>
    <w:rPr>
      <w:rFonts w:ascii="Consolas" w:eastAsiaTheme="minorEastAsia" w:hAnsi="Consolas" w:cs="Consolas"/>
      <w:sz w:val="20"/>
      <w:szCs w:val="20"/>
      <w:lang w:val="en-US" w:eastAsia="en-US"/>
    </w:rPr>
  </w:style>
  <w:style w:type="character" w:styleId="ExempleHTML">
    <w:name w:val="HTML Sample"/>
    <w:basedOn w:val="Policepardfaut"/>
    <w:uiPriority w:val="99"/>
    <w:semiHidden/>
    <w:rsid w:val="000C4043"/>
    <w:rPr>
      <w:rFonts w:ascii="Consolas" w:hAnsi="Consolas" w:cs="Consolas"/>
      <w:sz w:val="24"/>
      <w:szCs w:val="24"/>
    </w:rPr>
  </w:style>
  <w:style w:type="character" w:styleId="MachinecrireHTML">
    <w:name w:val="HTML Typewriter"/>
    <w:basedOn w:val="Policepardfaut"/>
    <w:uiPriority w:val="99"/>
    <w:semiHidden/>
    <w:rsid w:val="000C4043"/>
    <w:rPr>
      <w:rFonts w:ascii="Consolas" w:hAnsi="Consolas" w:cs="Consolas"/>
      <w:sz w:val="20"/>
      <w:szCs w:val="20"/>
    </w:rPr>
  </w:style>
  <w:style w:type="character" w:styleId="VariableHTML">
    <w:name w:val="HTML Variable"/>
    <w:basedOn w:val="Policepardfaut"/>
    <w:uiPriority w:val="99"/>
    <w:semiHidden/>
    <w:rsid w:val="000C4043"/>
    <w:rPr>
      <w:i/>
      <w:iCs/>
    </w:rPr>
  </w:style>
  <w:style w:type="paragraph" w:styleId="Index1">
    <w:name w:val="index 1"/>
    <w:basedOn w:val="Normal"/>
    <w:next w:val="Normal"/>
    <w:autoRedefine/>
    <w:uiPriority w:val="99"/>
    <w:semiHidden/>
    <w:rsid w:val="000C4043"/>
    <w:pPr>
      <w:ind w:left="240" w:hanging="240"/>
    </w:pPr>
  </w:style>
  <w:style w:type="paragraph" w:styleId="Index2">
    <w:name w:val="index 2"/>
    <w:basedOn w:val="Normal"/>
    <w:next w:val="Normal"/>
    <w:autoRedefine/>
    <w:uiPriority w:val="99"/>
    <w:semiHidden/>
    <w:rsid w:val="000C4043"/>
    <w:pPr>
      <w:ind w:left="480" w:hanging="240"/>
    </w:pPr>
  </w:style>
  <w:style w:type="paragraph" w:styleId="Index3">
    <w:name w:val="index 3"/>
    <w:basedOn w:val="Normal"/>
    <w:next w:val="Normal"/>
    <w:autoRedefine/>
    <w:uiPriority w:val="99"/>
    <w:semiHidden/>
    <w:rsid w:val="000C4043"/>
    <w:pPr>
      <w:ind w:left="720" w:hanging="240"/>
    </w:pPr>
  </w:style>
  <w:style w:type="paragraph" w:styleId="Index4">
    <w:name w:val="index 4"/>
    <w:basedOn w:val="Normal"/>
    <w:next w:val="Normal"/>
    <w:autoRedefine/>
    <w:uiPriority w:val="99"/>
    <w:semiHidden/>
    <w:rsid w:val="000C4043"/>
    <w:pPr>
      <w:ind w:left="960" w:hanging="240"/>
    </w:pPr>
  </w:style>
  <w:style w:type="paragraph" w:styleId="Index5">
    <w:name w:val="index 5"/>
    <w:basedOn w:val="Normal"/>
    <w:next w:val="Normal"/>
    <w:autoRedefine/>
    <w:uiPriority w:val="99"/>
    <w:semiHidden/>
    <w:rsid w:val="000C4043"/>
    <w:pPr>
      <w:ind w:left="1200" w:hanging="240"/>
    </w:pPr>
  </w:style>
  <w:style w:type="paragraph" w:styleId="Index6">
    <w:name w:val="index 6"/>
    <w:basedOn w:val="Normal"/>
    <w:next w:val="Normal"/>
    <w:autoRedefine/>
    <w:uiPriority w:val="99"/>
    <w:semiHidden/>
    <w:rsid w:val="000C4043"/>
    <w:pPr>
      <w:ind w:left="1440" w:hanging="240"/>
    </w:pPr>
  </w:style>
  <w:style w:type="paragraph" w:styleId="Index7">
    <w:name w:val="index 7"/>
    <w:basedOn w:val="Normal"/>
    <w:next w:val="Normal"/>
    <w:autoRedefine/>
    <w:uiPriority w:val="99"/>
    <w:semiHidden/>
    <w:rsid w:val="000C4043"/>
    <w:pPr>
      <w:ind w:left="1680" w:hanging="240"/>
    </w:pPr>
  </w:style>
  <w:style w:type="paragraph" w:styleId="Index8">
    <w:name w:val="index 8"/>
    <w:basedOn w:val="Normal"/>
    <w:next w:val="Normal"/>
    <w:autoRedefine/>
    <w:uiPriority w:val="99"/>
    <w:semiHidden/>
    <w:rsid w:val="000C4043"/>
    <w:pPr>
      <w:ind w:left="1920" w:hanging="240"/>
    </w:pPr>
  </w:style>
  <w:style w:type="paragraph" w:styleId="Index9">
    <w:name w:val="index 9"/>
    <w:basedOn w:val="Normal"/>
    <w:next w:val="Normal"/>
    <w:autoRedefine/>
    <w:uiPriority w:val="99"/>
    <w:semiHidden/>
    <w:rsid w:val="000C4043"/>
    <w:pPr>
      <w:ind w:left="2160" w:hanging="240"/>
    </w:pPr>
  </w:style>
  <w:style w:type="paragraph" w:styleId="Titreindex">
    <w:name w:val="index heading"/>
    <w:basedOn w:val="Normal"/>
    <w:next w:val="Index1"/>
    <w:uiPriority w:val="99"/>
    <w:semiHidden/>
    <w:rsid w:val="000C4043"/>
    <w:rPr>
      <w:rFonts w:asciiTheme="majorHAnsi" w:eastAsiaTheme="majorEastAsia" w:hAnsiTheme="majorHAnsi" w:cstheme="majorBidi"/>
      <w:b/>
      <w:bCs/>
    </w:rPr>
  </w:style>
  <w:style w:type="table" w:styleId="Grilleclaire">
    <w:name w:val="Light Grid"/>
    <w:basedOn w:val="TableauNormal"/>
    <w:uiPriority w:val="99"/>
    <w:semiHidden/>
    <w:rsid w:val="000C404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99"/>
    <w:semiHidden/>
    <w:rsid w:val="000C4043"/>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lleclaire-Accent2">
    <w:name w:val="Light Grid Accent 2"/>
    <w:basedOn w:val="TableauNormal"/>
    <w:uiPriority w:val="99"/>
    <w:semiHidden/>
    <w:rsid w:val="000C4043"/>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lleclaire-Accent3">
    <w:name w:val="Light Grid Accent 3"/>
    <w:basedOn w:val="TableauNormal"/>
    <w:uiPriority w:val="99"/>
    <w:semiHidden/>
    <w:rsid w:val="000C4043"/>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lleclaire-Accent4">
    <w:name w:val="Light Grid Accent 4"/>
    <w:basedOn w:val="TableauNormal"/>
    <w:uiPriority w:val="99"/>
    <w:semiHidden/>
    <w:rsid w:val="000C4043"/>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lleclaire-Accent5">
    <w:name w:val="Light Grid Accent 5"/>
    <w:basedOn w:val="TableauNormal"/>
    <w:uiPriority w:val="99"/>
    <w:semiHidden/>
    <w:rsid w:val="000C4043"/>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lleclaire-Accent6">
    <w:name w:val="Light Grid Accent 6"/>
    <w:basedOn w:val="TableauNormal"/>
    <w:uiPriority w:val="99"/>
    <w:semiHidden/>
    <w:rsid w:val="000C4043"/>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steclaire">
    <w:name w:val="Light List"/>
    <w:basedOn w:val="TableauNormal"/>
    <w:uiPriority w:val="99"/>
    <w:semiHidden/>
    <w:rsid w:val="000C404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99"/>
    <w:semiHidden/>
    <w:rsid w:val="000C4043"/>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steclaire-Accent2">
    <w:name w:val="Light List Accent 2"/>
    <w:basedOn w:val="TableauNormal"/>
    <w:uiPriority w:val="99"/>
    <w:semiHidden/>
    <w:rsid w:val="000C4043"/>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steclaire-Accent3">
    <w:name w:val="Light List Accent 3"/>
    <w:basedOn w:val="TableauNormal"/>
    <w:uiPriority w:val="99"/>
    <w:semiHidden/>
    <w:rsid w:val="000C4043"/>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steclaire-Accent4">
    <w:name w:val="Light List Accent 4"/>
    <w:basedOn w:val="TableauNormal"/>
    <w:uiPriority w:val="99"/>
    <w:semiHidden/>
    <w:rsid w:val="000C4043"/>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steclaire-Accent5">
    <w:name w:val="Light List Accent 5"/>
    <w:basedOn w:val="TableauNormal"/>
    <w:uiPriority w:val="99"/>
    <w:semiHidden/>
    <w:rsid w:val="000C4043"/>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steclaire-Accent6">
    <w:name w:val="Light List Accent 6"/>
    <w:basedOn w:val="TableauNormal"/>
    <w:uiPriority w:val="99"/>
    <w:semiHidden/>
    <w:rsid w:val="000C4043"/>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Ombrageclair">
    <w:name w:val="Light Shading"/>
    <w:basedOn w:val="TableauNormal"/>
    <w:uiPriority w:val="99"/>
    <w:semiHidden/>
    <w:rsid w:val="000C404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99"/>
    <w:semiHidden/>
    <w:rsid w:val="000C4043"/>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Trameclaire-Accent2">
    <w:name w:val="Light Shading Accent 2"/>
    <w:basedOn w:val="TableauNormal"/>
    <w:uiPriority w:val="99"/>
    <w:semiHidden/>
    <w:rsid w:val="000C4043"/>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Trameclaire-Accent3">
    <w:name w:val="Light Shading Accent 3"/>
    <w:basedOn w:val="TableauNormal"/>
    <w:uiPriority w:val="99"/>
    <w:semiHidden/>
    <w:rsid w:val="000C4043"/>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Trameclaire-Accent4">
    <w:name w:val="Light Shading Accent 4"/>
    <w:basedOn w:val="TableauNormal"/>
    <w:uiPriority w:val="99"/>
    <w:semiHidden/>
    <w:rsid w:val="000C4043"/>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Trameclaire-Accent5">
    <w:name w:val="Light Shading Accent 5"/>
    <w:basedOn w:val="TableauNormal"/>
    <w:uiPriority w:val="99"/>
    <w:semiHidden/>
    <w:rsid w:val="000C4043"/>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Trameclaire-Accent6">
    <w:name w:val="Light Shading Accent 6"/>
    <w:basedOn w:val="TableauNormal"/>
    <w:uiPriority w:val="99"/>
    <w:semiHidden/>
    <w:rsid w:val="000C4043"/>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rodeligne">
    <w:name w:val="line number"/>
    <w:basedOn w:val="Policepardfaut"/>
    <w:uiPriority w:val="99"/>
    <w:semiHidden/>
    <w:rsid w:val="000C4043"/>
  </w:style>
  <w:style w:type="paragraph" w:styleId="Liste">
    <w:name w:val="List"/>
    <w:basedOn w:val="Normal"/>
    <w:uiPriority w:val="99"/>
    <w:semiHidden/>
    <w:rsid w:val="000C4043"/>
    <w:pPr>
      <w:ind w:left="283" w:hanging="283"/>
      <w:contextualSpacing/>
    </w:pPr>
  </w:style>
  <w:style w:type="paragraph" w:styleId="Liste2">
    <w:name w:val="List 2"/>
    <w:basedOn w:val="Normal"/>
    <w:uiPriority w:val="99"/>
    <w:semiHidden/>
    <w:rsid w:val="000C4043"/>
    <w:pPr>
      <w:ind w:left="566" w:hanging="283"/>
      <w:contextualSpacing/>
    </w:pPr>
  </w:style>
  <w:style w:type="paragraph" w:styleId="Liste3">
    <w:name w:val="List 3"/>
    <w:basedOn w:val="Normal"/>
    <w:uiPriority w:val="99"/>
    <w:semiHidden/>
    <w:rsid w:val="000C4043"/>
    <w:pPr>
      <w:ind w:left="849" w:hanging="283"/>
      <w:contextualSpacing/>
    </w:pPr>
  </w:style>
  <w:style w:type="paragraph" w:styleId="Liste4">
    <w:name w:val="List 4"/>
    <w:basedOn w:val="Normal"/>
    <w:uiPriority w:val="99"/>
    <w:semiHidden/>
    <w:rsid w:val="000C4043"/>
    <w:pPr>
      <w:ind w:left="1132" w:hanging="283"/>
      <w:contextualSpacing/>
    </w:pPr>
  </w:style>
  <w:style w:type="paragraph" w:styleId="Liste5">
    <w:name w:val="List 5"/>
    <w:basedOn w:val="Normal"/>
    <w:uiPriority w:val="99"/>
    <w:semiHidden/>
    <w:rsid w:val="000C4043"/>
    <w:pPr>
      <w:ind w:left="1415" w:hanging="283"/>
      <w:contextualSpacing/>
    </w:pPr>
  </w:style>
  <w:style w:type="paragraph" w:styleId="Listepuces2">
    <w:name w:val="List Bullet 2"/>
    <w:basedOn w:val="Normal"/>
    <w:uiPriority w:val="99"/>
    <w:semiHidden/>
    <w:rsid w:val="000C4043"/>
    <w:pPr>
      <w:numPr>
        <w:numId w:val="6"/>
      </w:numPr>
      <w:contextualSpacing/>
    </w:pPr>
  </w:style>
  <w:style w:type="paragraph" w:styleId="Listepuces3">
    <w:name w:val="List Bullet 3"/>
    <w:basedOn w:val="Normal"/>
    <w:uiPriority w:val="99"/>
    <w:semiHidden/>
    <w:rsid w:val="000C4043"/>
    <w:pPr>
      <w:numPr>
        <w:numId w:val="7"/>
      </w:numPr>
      <w:contextualSpacing/>
    </w:pPr>
  </w:style>
  <w:style w:type="paragraph" w:styleId="Listepuces4">
    <w:name w:val="List Bullet 4"/>
    <w:basedOn w:val="Normal"/>
    <w:uiPriority w:val="99"/>
    <w:semiHidden/>
    <w:rsid w:val="000C4043"/>
    <w:pPr>
      <w:numPr>
        <w:numId w:val="8"/>
      </w:numPr>
      <w:contextualSpacing/>
    </w:pPr>
  </w:style>
  <w:style w:type="paragraph" w:styleId="Listepuces5">
    <w:name w:val="List Bullet 5"/>
    <w:basedOn w:val="Normal"/>
    <w:uiPriority w:val="99"/>
    <w:semiHidden/>
    <w:rsid w:val="000C4043"/>
    <w:pPr>
      <w:numPr>
        <w:numId w:val="9"/>
      </w:numPr>
      <w:contextualSpacing/>
    </w:pPr>
  </w:style>
  <w:style w:type="paragraph" w:styleId="Listecontinue">
    <w:name w:val="List Continue"/>
    <w:basedOn w:val="Normal"/>
    <w:uiPriority w:val="99"/>
    <w:semiHidden/>
    <w:rsid w:val="000C4043"/>
    <w:pPr>
      <w:spacing w:after="120"/>
      <w:ind w:left="283"/>
      <w:contextualSpacing/>
    </w:pPr>
  </w:style>
  <w:style w:type="paragraph" w:styleId="Listecontinue2">
    <w:name w:val="List Continue 2"/>
    <w:basedOn w:val="Normal"/>
    <w:uiPriority w:val="99"/>
    <w:semiHidden/>
    <w:rsid w:val="000C4043"/>
    <w:pPr>
      <w:spacing w:after="120"/>
      <w:ind w:left="566"/>
      <w:contextualSpacing/>
    </w:pPr>
  </w:style>
  <w:style w:type="paragraph" w:styleId="Listecontinue3">
    <w:name w:val="List Continue 3"/>
    <w:basedOn w:val="Normal"/>
    <w:uiPriority w:val="99"/>
    <w:semiHidden/>
    <w:rsid w:val="000C4043"/>
    <w:pPr>
      <w:spacing w:after="120"/>
      <w:ind w:left="849"/>
      <w:contextualSpacing/>
    </w:pPr>
  </w:style>
  <w:style w:type="paragraph" w:styleId="Listecontinue4">
    <w:name w:val="List Continue 4"/>
    <w:basedOn w:val="Normal"/>
    <w:uiPriority w:val="99"/>
    <w:semiHidden/>
    <w:rsid w:val="000C4043"/>
    <w:pPr>
      <w:spacing w:after="120"/>
      <w:ind w:left="1132"/>
      <w:contextualSpacing/>
    </w:pPr>
  </w:style>
  <w:style w:type="paragraph" w:styleId="Listecontinue5">
    <w:name w:val="List Continue 5"/>
    <w:basedOn w:val="Normal"/>
    <w:uiPriority w:val="99"/>
    <w:semiHidden/>
    <w:rsid w:val="000C4043"/>
    <w:pPr>
      <w:spacing w:after="120"/>
      <w:ind w:left="1415"/>
      <w:contextualSpacing/>
    </w:pPr>
  </w:style>
  <w:style w:type="paragraph" w:styleId="Listenumros">
    <w:name w:val="List Number"/>
    <w:basedOn w:val="Normal"/>
    <w:uiPriority w:val="99"/>
    <w:semiHidden/>
    <w:rsid w:val="000C4043"/>
    <w:pPr>
      <w:numPr>
        <w:numId w:val="10"/>
      </w:numPr>
      <w:contextualSpacing/>
    </w:pPr>
  </w:style>
  <w:style w:type="paragraph" w:styleId="Listenumros2">
    <w:name w:val="List Number 2"/>
    <w:basedOn w:val="Normal"/>
    <w:uiPriority w:val="99"/>
    <w:semiHidden/>
    <w:rsid w:val="000C4043"/>
    <w:pPr>
      <w:numPr>
        <w:numId w:val="11"/>
      </w:numPr>
      <w:contextualSpacing/>
    </w:pPr>
  </w:style>
  <w:style w:type="paragraph" w:styleId="Listenumros3">
    <w:name w:val="List Number 3"/>
    <w:basedOn w:val="Normal"/>
    <w:uiPriority w:val="99"/>
    <w:semiHidden/>
    <w:rsid w:val="000C4043"/>
    <w:pPr>
      <w:numPr>
        <w:numId w:val="12"/>
      </w:numPr>
      <w:contextualSpacing/>
    </w:pPr>
  </w:style>
  <w:style w:type="paragraph" w:styleId="Listenumros4">
    <w:name w:val="List Number 4"/>
    <w:basedOn w:val="Normal"/>
    <w:uiPriority w:val="99"/>
    <w:semiHidden/>
    <w:rsid w:val="000C4043"/>
    <w:pPr>
      <w:numPr>
        <w:numId w:val="13"/>
      </w:numPr>
      <w:contextualSpacing/>
    </w:pPr>
  </w:style>
  <w:style w:type="paragraph" w:styleId="Listenumros5">
    <w:name w:val="List Number 5"/>
    <w:basedOn w:val="Normal"/>
    <w:uiPriority w:val="99"/>
    <w:semiHidden/>
    <w:rsid w:val="000C4043"/>
    <w:pPr>
      <w:numPr>
        <w:numId w:val="14"/>
      </w:numPr>
      <w:contextualSpacing/>
    </w:pPr>
  </w:style>
  <w:style w:type="paragraph" w:styleId="Textedemacro">
    <w:name w:val="macro"/>
    <w:link w:val="TextedemacroCar"/>
    <w:uiPriority w:val="99"/>
    <w:semiHidden/>
    <w:rsid w:val="000C404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lang w:val="en-US" w:eastAsia="en-US"/>
    </w:rPr>
  </w:style>
  <w:style w:type="character" w:customStyle="1" w:styleId="TextedemacroCar">
    <w:name w:val="Texte de macro Car"/>
    <w:basedOn w:val="Policepardfaut"/>
    <w:link w:val="Textedemacro"/>
    <w:rsid w:val="000C4043"/>
    <w:rPr>
      <w:rFonts w:ascii="Consolas" w:eastAsiaTheme="minorEastAsia" w:hAnsi="Consolas" w:cs="Consolas"/>
      <w:sz w:val="20"/>
      <w:szCs w:val="20"/>
      <w:lang w:val="en-US" w:eastAsia="en-US"/>
    </w:rPr>
  </w:style>
  <w:style w:type="table" w:styleId="Grillemoyenne1">
    <w:name w:val="Medium Grid 1"/>
    <w:basedOn w:val="TableauNormal"/>
    <w:uiPriority w:val="99"/>
    <w:semiHidden/>
    <w:rsid w:val="000C404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99"/>
    <w:semiHidden/>
    <w:rsid w:val="000C4043"/>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llemoyenne1-Accent2">
    <w:name w:val="Medium Grid 1 Accent 2"/>
    <w:basedOn w:val="TableauNormal"/>
    <w:uiPriority w:val="99"/>
    <w:semiHidden/>
    <w:rsid w:val="000C4043"/>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llemoyenne1-Accent3">
    <w:name w:val="Medium Grid 1 Accent 3"/>
    <w:basedOn w:val="TableauNormal"/>
    <w:uiPriority w:val="99"/>
    <w:semiHidden/>
    <w:rsid w:val="000C4043"/>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llemoyenne1-Accent4">
    <w:name w:val="Medium Grid 1 Accent 4"/>
    <w:basedOn w:val="TableauNormal"/>
    <w:uiPriority w:val="99"/>
    <w:semiHidden/>
    <w:rsid w:val="000C4043"/>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llemoyenne1-Accent5">
    <w:name w:val="Medium Grid 1 Accent 5"/>
    <w:basedOn w:val="TableauNormal"/>
    <w:uiPriority w:val="99"/>
    <w:semiHidden/>
    <w:rsid w:val="000C4043"/>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llemoyenne1-Accent6">
    <w:name w:val="Medium Grid 1 Accent 6"/>
    <w:basedOn w:val="TableauNormal"/>
    <w:uiPriority w:val="99"/>
    <w:semiHidden/>
    <w:rsid w:val="000C4043"/>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llemoyenne2">
    <w:name w:val="Medium Grid 2"/>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llemoyenne2-Accent1">
    <w:name w:val="Medium Grid 2 Accent 1"/>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llemoyenne2-Accent2">
    <w:name w:val="Medium Grid 2 Accent 2"/>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llemoyenne2-Accent3">
    <w:name w:val="Medium Grid 2 Accent 3"/>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llemoyenne2-Accent4">
    <w:name w:val="Medium Grid 2 Accent 4"/>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llemoyenne2-Accent5">
    <w:name w:val="Medium Grid 2 Accent 5"/>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llemoyenne2-Accent6">
    <w:name w:val="Medium Grid 2 Accent 6"/>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llemoyenne3">
    <w:name w:val="Medium Grid 3"/>
    <w:basedOn w:val="TableauNormal"/>
    <w:uiPriority w:val="99"/>
    <w:semiHidden/>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llemoyenne3-Accent1">
    <w:name w:val="Medium Grid 3 Accent 1"/>
    <w:basedOn w:val="TableauNormal"/>
    <w:uiPriority w:val="99"/>
    <w:semiHidden/>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llemoyenne3-Accent2">
    <w:name w:val="Medium Grid 3 Accent 2"/>
    <w:basedOn w:val="TableauNormal"/>
    <w:uiPriority w:val="99"/>
    <w:semiHidden/>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llemoyenne3-Accent3">
    <w:name w:val="Medium Grid 3 Accent 3"/>
    <w:basedOn w:val="TableauNormal"/>
    <w:uiPriority w:val="99"/>
    <w:semiHidden/>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llemoyenne3-Accent4">
    <w:name w:val="Medium Grid 3 Accent 4"/>
    <w:basedOn w:val="TableauNormal"/>
    <w:uiPriority w:val="99"/>
    <w:semiHidden/>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llemoyenne3-Accent5">
    <w:name w:val="Medium Grid 3 Accent 5"/>
    <w:basedOn w:val="TableauNormal"/>
    <w:uiPriority w:val="99"/>
    <w:semiHidden/>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llemoyenne3-Accent6">
    <w:name w:val="Medium Grid 3 Accent 6"/>
    <w:basedOn w:val="TableauNormal"/>
    <w:uiPriority w:val="99"/>
    <w:semiHidden/>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Listemoyenne1">
    <w:name w:val="Medium List 1"/>
    <w:basedOn w:val="TableauNormal"/>
    <w:uiPriority w:val="99"/>
    <w:semiHidden/>
    <w:rsid w:val="000C404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99"/>
    <w:semiHidden/>
    <w:rsid w:val="000C4043"/>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Listemoyenne1-Accent2">
    <w:name w:val="Medium List 1 Accent 2"/>
    <w:basedOn w:val="TableauNormal"/>
    <w:uiPriority w:val="99"/>
    <w:semiHidden/>
    <w:rsid w:val="000C4043"/>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Listemoyenne1-Accent3">
    <w:name w:val="Medium List 1 Accent 3"/>
    <w:basedOn w:val="TableauNormal"/>
    <w:uiPriority w:val="99"/>
    <w:semiHidden/>
    <w:rsid w:val="000C4043"/>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Listemoyenne1-Accent4">
    <w:name w:val="Medium List 1 Accent 4"/>
    <w:basedOn w:val="TableauNormal"/>
    <w:uiPriority w:val="99"/>
    <w:semiHidden/>
    <w:rsid w:val="000C4043"/>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Listemoyenne1-Accent5">
    <w:name w:val="Medium List 1 Accent 5"/>
    <w:basedOn w:val="TableauNormal"/>
    <w:uiPriority w:val="99"/>
    <w:semiHidden/>
    <w:rsid w:val="000C4043"/>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Listemoyenne1-Accent6">
    <w:name w:val="Medium List 1 Accent 6"/>
    <w:basedOn w:val="TableauNormal"/>
    <w:uiPriority w:val="99"/>
    <w:semiHidden/>
    <w:rsid w:val="000C4043"/>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Listemoyenne2">
    <w:name w:val="Medium List 2"/>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1">
    <w:name w:val="Medium List 2 Accent 1"/>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2">
    <w:name w:val="Medium List 2 Accent 2"/>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3">
    <w:name w:val="Medium List 2 Accent 3"/>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4">
    <w:name w:val="Medium List 2 Accent 4"/>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5">
    <w:name w:val="Medium List 2 Accent 5"/>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6">
    <w:name w:val="Medium List 2 Accent 6"/>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Tramemoyenne1">
    <w:name w:val="Medium Shading 1"/>
    <w:basedOn w:val="TableauNormal"/>
    <w:uiPriority w:val="99"/>
    <w:semiHidden/>
    <w:rsid w:val="000C404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99"/>
    <w:semiHidden/>
    <w:rsid w:val="000C4043"/>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99"/>
    <w:semiHidden/>
    <w:rsid w:val="000C4043"/>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99"/>
    <w:semiHidden/>
    <w:rsid w:val="000C4043"/>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99"/>
    <w:semiHidden/>
    <w:rsid w:val="000C4043"/>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99"/>
    <w:semiHidden/>
    <w:rsid w:val="000C4043"/>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99"/>
    <w:semiHidden/>
    <w:rsid w:val="000C4043"/>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99"/>
    <w:semiHidden/>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99"/>
    <w:semiHidden/>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99"/>
    <w:semiHidden/>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99"/>
    <w:semiHidden/>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99"/>
    <w:semiHidden/>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99"/>
    <w:semiHidden/>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99"/>
    <w:semiHidden/>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rsid w:val="000C404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En-ttedemessageCar">
    <w:name w:val="En-tête de message Car"/>
    <w:basedOn w:val="Policepardfaut"/>
    <w:link w:val="En-ttedemessage"/>
    <w:rsid w:val="000C4043"/>
    <w:rPr>
      <w:rFonts w:asciiTheme="majorHAnsi" w:eastAsiaTheme="majorEastAsia" w:hAnsiTheme="majorHAnsi" w:cstheme="majorBidi"/>
      <w:sz w:val="24"/>
      <w:szCs w:val="24"/>
      <w:shd w:val="pct20" w:color="auto" w:fill="auto"/>
      <w:lang w:val="en-US" w:eastAsia="en-US"/>
    </w:rPr>
  </w:style>
  <w:style w:type="paragraph" w:styleId="NormalWeb">
    <w:name w:val="Normal (Web)"/>
    <w:basedOn w:val="Normal"/>
    <w:uiPriority w:val="99"/>
    <w:semiHidden/>
    <w:rsid w:val="000C4043"/>
    <w:rPr>
      <w:rFonts w:ascii="Times New Roman" w:hAnsi="Times New Roman" w:cs="Times New Roman"/>
      <w:szCs w:val="24"/>
    </w:rPr>
  </w:style>
  <w:style w:type="paragraph" w:styleId="Retraitnormal">
    <w:name w:val="Normal Indent"/>
    <w:basedOn w:val="Normal"/>
    <w:uiPriority w:val="99"/>
    <w:semiHidden/>
    <w:rsid w:val="000C4043"/>
    <w:pPr>
      <w:ind w:left="720"/>
    </w:pPr>
  </w:style>
  <w:style w:type="paragraph" w:styleId="Titredenote">
    <w:name w:val="Note Heading"/>
    <w:basedOn w:val="Normal"/>
    <w:next w:val="Normal"/>
    <w:link w:val="TitredenoteCar"/>
    <w:uiPriority w:val="99"/>
    <w:semiHidden/>
    <w:rsid w:val="000C4043"/>
  </w:style>
  <w:style w:type="character" w:customStyle="1" w:styleId="TitredenoteCar">
    <w:name w:val="Titre de note Car"/>
    <w:basedOn w:val="Policepardfaut"/>
    <w:link w:val="Titredenote"/>
    <w:rsid w:val="000C4043"/>
    <w:rPr>
      <w:rFonts w:eastAsiaTheme="minorEastAsia"/>
      <w:sz w:val="24"/>
      <w:lang w:val="en-US" w:eastAsia="en-US"/>
    </w:rPr>
  </w:style>
  <w:style w:type="character" w:styleId="Textedelespacerserv">
    <w:name w:val="Placeholder Text"/>
    <w:basedOn w:val="Policepardfaut"/>
    <w:uiPriority w:val="99"/>
    <w:semiHidden/>
    <w:rsid w:val="000C4043"/>
    <w:rPr>
      <w:color w:val="808080"/>
    </w:rPr>
  </w:style>
  <w:style w:type="paragraph" w:styleId="Textebrut">
    <w:name w:val="Plain Text"/>
    <w:basedOn w:val="Normal"/>
    <w:link w:val="TextebrutCar"/>
    <w:uiPriority w:val="99"/>
    <w:semiHidden/>
    <w:rsid w:val="000C4043"/>
    <w:rPr>
      <w:rFonts w:ascii="Consolas" w:hAnsi="Consolas" w:cs="Consolas"/>
      <w:sz w:val="21"/>
      <w:szCs w:val="21"/>
    </w:rPr>
  </w:style>
  <w:style w:type="character" w:customStyle="1" w:styleId="TextebrutCar">
    <w:name w:val="Texte brut Car"/>
    <w:basedOn w:val="Policepardfaut"/>
    <w:link w:val="Textebrut"/>
    <w:rsid w:val="000C4043"/>
    <w:rPr>
      <w:rFonts w:ascii="Consolas" w:eastAsiaTheme="minorEastAsia" w:hAnsi="Consolas" w:cs="Consolas"/>
      <w:sz w:val="21"/>
      <w:szCs w:val="21"/>
      <w:lang w:val="en-US" w:eastAsia="en-US"/>
    </w:rPr>
  </w:style>
  <w:style w:type="paragraph" w:styleId="Salutations">
    <w:name w:val="Salutation"/>
    <w:basedOn w:val="Normal"/>
    <w:next w:val="Normal"/>
    <w:link w:val="SalutationsCar"/>
    <w:uiPriority w:val="99"/>
    <w:semiHidden/>
    <w:rsid w:val="000C4043"/>
  </w:style>
  <w:style w:type="character" w:customStyle="1" w:styleId="SalutationsCar">
    <w:name w:val="Salutations Car"/>
    <w:basedOn w:val="Policepardfaut"/>
    <w:link w:val="Salutations"/>
    <w:rsid w:val="000C4043"/>
    <w:rPr>
      <w:rFonts w:eastAsiaTheme="minorEastAsia"/>
      <w:sz w:val="24"/>
      <w:lang w:val="en-US" w:eastAsia="en-US"/>
    </w:rPr>
  </w:style>
  <w:style w:type="paragraph" w:styleId="Signature">
    <w:name w:val="Signature"/>
    <w:basedOn w:val="Normal"/>
    <w:link w:val="SignatureCar"/>
    <w:uiPriority w:val="99"/>
    <w:semiHidden/>
    <w:rsid w:val="000C4043"/>
    <w:pPr>
      <w:ind w:left="4252"/>
    </w:pPr>
  </w:style>
  <w:style w:type="character" w:customStyle="1" w:styleId="SignatureCar">
    <w:name w:val="Signature Car"/>
    <w:basedOn w:val="Policepardfaut"/>
    <w:link w:val="Signature"/>
    <w:rsid w:val="000C4043"/>
    <w:rPr>
      <w:rFonts w:eastAsiaTheme="minorEastAsia"/>
      <w:sz w:val="24"/>
      <w:lang w:val="en-US" w:eastAsia="en-US"/>
    </w:rPr>
  </w:style>
  <w:style w:type="table" w:styleId="Effets3D1">
    <w:name w:val="Table 3D effects 1"/>
    <w:basedOn w:val="TableauNormal"/>
    <w:uiPriority w:val="99"/>
    <w:semiHidden/>
    <w:rsid w:val="000C404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uiPriority w:val="99"/>
    <w:semiHidden/>
    <w:rsid w:val="000C404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uiPriority w:val="99"/>
    <w:semiHidden/>
    <w:rsid w:val="000C404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1">
    <w:name w:val="Table Classic 1"/>
    <w:basedOn w:val="TableauNormal"/>
    <w:uiPriority w:val="99"/>
    <w:semiHidden/>
    <w:rsid w:val="000C404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uiPriority w:val="99"/>
    <w:semiHidden/>
    <w:rsid w:val="000C404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uiPriority w:val="99"/>
    <w:semiHidden/>
    <w:rsid w:val="000C404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uiPriority w:val="99"/>
    <w:semiHidden/>
    <w:rsid w:val="000C404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1">
    <w:name w:val="Table Colorful 1"/>
    <w:basedOn w:val="TableauNormal"/>
    <w:uiPriority w:val="99"/>
    <w:semiHidden/>
    <w:rsid w:val="000C404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uiPriority w:val="99"/>
    <w:semiHidden/>
    <w:rsid w:val="000C404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uiPriority w:val="99"/>
    <w:semiHidden/>
    <w:rsid w:val="000C404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uiPriority w:val="99"/>
    <w:semiHidden/>
    <w:rsid w:val="000C404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uiPriority w:val="99"/>
    <w:semiHidden/>
    <w:rsid w:val="000C404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uiPriority w:val="99"/>
    <w:semiHidden/>
    <w:rsid w:val="000C404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uiPriority w:val="99"/>
    <w:semiHidden/>
    <w:rsid w:val="000C404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uiPriority w:val="99"/>
    <w:semiHidden/>
    <w:rsid w:val="000C404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uiPriority w:val="99"/>
    <w:semiHidden/>
    <w:rsid w:val="000C404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uiPriority w:val="99"/>
    <w:semiHidden/>
    <w:rsid w:val="000C404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1">
    <w:name w:val="Table Grid 1"/>
    <w:basedOn w:val="TableauNormal"/>
    <w:uiPriority w:val="99"/>
    <w:semiHidden/>
    <w:rsid w:val="000C404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uiPriority w:val="99"/>
    <w:semiHidden/>
    <w:rsid w:val="000C404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uiPriority w:val="99"/>
    <w:semiHidden/>
    <w:rsid w:val="000C404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uiPriority w:val="99"/>
    <w:semiHidden/>
    <w:rsid w:val="000C404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uiPriority w:val="99"/>
    <w:semiHidden/>
    <w:rsid w:val="000C404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uiPriority w:val="99"/>
    <w:semiHidden/>
    <w:rsid w:val="000C404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uiPriority w:val="99"/>
    <w:semiHidden/>
    <w:rsid w:val="000C404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uiPriority w:val="99"/>
    <w:semiHidden/>
    <w:rsid w:val="000C404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eencolonnes1">
    <w:name w:val="Table List 1"/>
    <w:basedOn w:val="TableauNormal"/>
    <w:uiPriority w:val="99"/>
    <w:semiHidden/>
    <w:rsid w:val="000C404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eencolonnes2">
    <w:name w:val="Table List 2"/>
    <w:basedOn w:val="TableauNormal"/>
    <w:uiPriority w:val="99"/>
    <w:semiHidden/>
    <w:rsid w:val="000C404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eencolonnes3">
    <w:name w:val="Table List 3"/>
    <w:basedOn w:val="TableauNormal"/>
    <w:uiPriority w:val="99"/>
    <w:semiHidden/>
    <w:rsid w:val="000C404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eencolonnes4">
    <w:name w:val="Table List 4"/>
    <w:basedOn w:val="TableauNormal"/>
    <w:uiPriority w:val="99"/>
    <w:semiHidden/>
    <w:rsid w:val="000C404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eencolonnes5">
    <w:name w:val="Table List 5"/>
    <w:basedOn w:val="TableauNormal"/>
    <w:uiPriority w:val="99"/>
    <w:semiHidden/>
    <w:rsid w:val="000C404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eencolonnes6">
    <w:name w:val="Table List 6"/>
    <w:basedOn w:val="TableauNormal"/>
    <w:uiPriority w:val="99"/>
    <w:semiHidden/>
    <w:rsid w:val="000C404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eencolonnes7">
    <w:name w:val="Table List 7"/>
    <w:basedOn w:val="TableauNormal"/>
    <w:uiPriority w:val="99"/>
    <w:semiHidden/>
    <w:rsid w:val="000C404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eencolonnes8">
    <w:name w:val="Table List 8"/>
    <w:basedOn w:val="TableauNormal"/>
    <w:uiPriority w:val="99"/>
    <w:semiHidden/>
    <w:rsid w:val="000C404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autorits">
    <w:name w:val="table of authorities"/>
    <w:basedOn w:val="Normal"/>
    <w:next w:val="Normal"/>
    <w:uiPriority w:val="99"/>
    <w:semiHidden/>
    <w:rsid w:val="000C4043"/>
    <w:pPr>
      <w:ind w:left="240" w:hanging="240"/>
    </w:pPr>
  </w:style>
  <w:style w:type="paragraph" w:styleId="Tabledesillustrations">
    <w:name w:val="table of figures"/>
    <w:basedOn w:val="Normal"/>
    <w:next w:val="Normal"/>
    <w:uiPriority w:val="99"/>
    <w:semiHidden/>
    <w:rsid w:val="000C4043"/>
  </w:style>
  <w:style w:type="table" w:styleId="Professionnel">
    <w:name w:val="Table Professional"/>
    <w:basedOn w:val="TableauNormal"/>
    <w:uiPriority w:val="99"/>
    <w:semiHidden/>
    <w:rsid w:val="000C404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uiPriority w:val="99"/>
    <w:semiHidden/>
    <w:rsid w:val="000C404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uiPriority w:val="99"/>
    <w:semiHidden/>
    <w:rsid w:val="000C404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uiPriority w:val="99"/>
    <w:semiHidden/>
    <w:rsid w:val="000C404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uiPriority w:val="99"/>
    <w:semiHidden/>
    <w:rsid w:val="000C404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uiPriority w:val="99"/>
    <w:semiHidden/>
    <w:rsid w:val="000C404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
    <w:name w:val="Table Theme"/>
    <w:basedOn w:val="TableauNormal"/>
    <w:uiPriority w:val="99"/>
    <w:semiHidden/>
    <w:rsid w:val="000C404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uiPriority w:val="99"/>
    <w:semiHidden/>
    <w:rsid w:val="000C404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uiPriority w:val="99"/>
    <w:semiHidden/>
    <w:rsid w:val="000C404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uiPriority w:val="99"/>
    <w:semiHidden/>
    <w:rsid w:val="000C404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M6">
    <w:name w:val="toc 6"/>
    <w:basedOn w:val="Normal"/>
    <w:next w:val="Normal"/>
    <w:autoRedefine/>
    <w:uiPriority w:val="99"/>
    <w:semiHidden/>
    <w:rsid w:val="000C4043"/>
    <w:pPr>
      <w:spacing w:after="100"/>
      <w:ind w:left="1200"/>
    </w:pPr>
  </w:style>
  <w:style w:type="paragraph" w:styleId="TM7">
    <w:name w:val="toc 7"/>
    <w:basedOn w:val="Normal"/>
    <w:next w:val="Normal"/>
    <w:autoRedefine/>
    <w:uiPriority w:val="99"/>
    <w:semiHidden/>
    <w:rsid w:val="000C4043"/>
    <w:pPr>
      <w:spacing w:after="100"/>
      <w:ind w:left="1440"/>
    </w:pPr>
  </w:style>
  <w:style w:type="paragraph" w:styleId="TM8">
    <w:name w:val="toc 8"/>
    <w:basedOn w:val="Normal"/>
    <w:next w:val="Normal"/>
    <w:autoRedefine/>
    <w:uiPriority w:val="99"/>
    <w:semiHidden/>
    <w:rsid w:val="000C4043"/>
    <w:pPr>
      <w:spacing w:after="100"/>
      <w:ind w:left="1680"/>
    </w:pPr>
  </w:style>
  <w:style w:type="paragraph" w:styleId="TM9">
    <w:name w:val="toc 9"/>
    <w:basedOn w:val="Normal"/>
    <w:next w:val="Normal"/>
    <w:autoRedefine/>
    <w:uiPriority w:val="99"/>
    <w:semiHidden/>
    <w:rsid w:val="000C4043"/>
    <w:pPr>
      <w:spacing w:after="100"/>
      <w:ind w:left="1920"/>
    </w:pPr>
  </w:style>
  <w:style w:type="paragraph" w:customStyle="1" w:styleId="DummyStyle">
    <w:name w:val="Dummy_Style"/>
    <w:basedOn w:val="Normal"/>
    <w:semiHidden/>
    <w:qFormat/>
    <w:rsid w:val="004C1AE4"/>
    <w:rPr>
      <w:color w:val="00B050"/>
      <w:lang w:val="fr-FR" w:eastAsia="fr-FR"/>
    </w:rPr>
  </w:style>
  <w:style w:type="character" w:customStyle="1" w:styleId="JuH1Char">
    <w:name w:val="Ju_H_1. Char"/>
    <w:basedOn w:val="Policepardfaut"/>
    <w:link w:val="ECHRHeading3"/>
    <w:uiPriority w:val="21"/>
    <w:rsid w:val="00544688"/>
    <w:rPr>
      <w:rFonts w:asciiTheme="majorHAnsi" w:eastAsiaTheme="majorEastAsia" w:hAnsiTheme="majorHAnsi" w:cstheme="majorBidi"/>
      <w:bCs/>
      <w:i/>
      <w:sz w:val="24"/>
    </w:rPr>
  </w:style>
  <w:style w:type="character" w:customStyle="1" w:styleId="JuHaChar">
    <w:name w:val="Ju_H_a Char"/>
    <w:basedOn w:val="JuH1Char"/>
    <w:link w:val="ECHRHeading4"/>
    <w:uiPriority w:val="22"/>
    <w:rsid w:val="00544688"/>
    <w:rPr>
      <w:rFonts w:asciiTheme="majorHAnsi" w:eastAsiaTheme="majorEastAsia" w:hAnsiTheme="majorHAnsi" w:cstheme="majorBidi"/>
      <w:b/>
      <w:bCs/>
      <w:i w:val="0"/>
      <w:iCs/>
      <w:sz w:val="20"/>
    </w:rPr>
  </w:style>
  <w:style w:type="character" w:customStyle="1" w:styleId="JuQuotChar">
    <w:name w:val="Ju_Quot Char"/>
    <w:basedOn w:val="ECHRParaChar"/>
    <w:link w:val="ECHRParaQuote"/>
    <w:uiPriority w:val="14"/>
    <w:locked/>
    <w:rsid w:val="00076D51"/>
    <w:rPr>
      <w:rFonts w:eastAsiaTheme="minorEastAsia"/>
      <w:sz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0" w:defUnhideWhenUsed="0" w:defQFormat="0" w:count="2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semiHidden="1" w:qFormat="1"/>
    <w:lsdException w:name="Title" w:qFormat="1"/>
    <w:lsdException w:name="Default Paragraph Font" w:uiPriority="1"/>
    <w:lsdException w:name="Subtitle" w:qFormat="1"/>
    <w:lsdException w:name="Strong" w:qFormat="1"/>
    <w:lsdException w:name="Emphasis" w:qFormat="1"/>
    <w:lsdException w:name="HTML Top of Form" w:uiPriority="0"/>
    <w:lsdException w:name="HTML Bottom of Form" w:uiPriority="0"/>
    <w:lsdException w:name="Table Grid" w:uiPriority="59"/>
    <w:lsdException w:name="Placeholder Text" w:semiHidden="1"/>
    <w:lsdException w:name="No Spacing" w:uiPriority="0"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semiHidden/>
    <w:rsid w:val="004C1AE4"/>
    <w:pPr>
      <w:jc w:val="both"/>
    </w:pPr>
    <w:rPr>
      <w:rFonts w:eastAsiaTheme="minorEastAsia"/>
      <w:sz w:val="24"/>
      <w:lang w:val="en-US" w:eastAsia="en-US"/>
    </w:rPr>
  </w:style>
  <w:style w:type="paragraph" w:styleId="Titre1">
    <w:name w:val="heading 1"/>
    <w:basedOn w:val="Normal"/>
    <w:next w:val="Normal"/>
    <w:link w:val="Titre1Car"/>
    <w:uiPriority w:val="99"/>
    <w:semiHidden/>
    <w:rsid w:val="004C1AE4"/>
    <w:pPr>
      <w:spacing w:before="480"/>
      <w:contextualSpacing/>
      <w:outlineLvl w:val="0"/>
    </w:pPr>
    <w:rPr>
      <w:rFonts w:asciiTheme="majorHAnsi" w:eastAsiaTheme="majorEastAsia" w:hAnsiTheme="majorHAnsi" w:cstheme="majorBidi"/>
      <w:b/>
      <w:bCs/>
      <w:color w:val="333333"/>
      <w:sz w:val="28"/>
      <w:szCs w:val="28"/>
    </w:rPr>
  </w:style>
  <w:style w:type="paragraph" w:styleId="Titre2">
    <w:name w:val="heading 2"/>
    <w:basedOn w:val="Normal"/>
    <w:next w:val="Normal"/>
    <w:link w:val="Titre2Car"/>
    <w:uiPriority w:val="99"/>
    <w:semiHidden/>
    <w:rsid w:val="004C1AE4"/>
    <w:pPr>
      <w:spacing w:before="200"/>
      <w:outlineLvl w:val="1"/>
    </w:pPr>
    <w:rPr>
      <w:rFonts w:asciiTheme="majorHAnsi" w:eastAsiaTheme="majorEastAsia" w:hAnsiTheme="majorHAnsi" w:cstheme="majorBidi"/>
      <w:b/>
      <w:bCs/>
      <w:color w:val="4D4D4D"/>
      <w:sz w:val="26"/>
      <w:szCs w:val="26"/>
    </w:rPr>
  </w:style>
  <w:style w:type="paragraph" w:styleId="Titre3">
    <w:name w:val="heading 3"/>
    <w:basedOn w:val="Normal"/>
    <w:next w:val="Normal"/>
    <w:link w:val="Titre3Car"/>
    <w:uiPriority w:val="99"/>
    <w:semiHidden/>
    <w:rsid w:val="004C1AE4"/>
    <w:pPr>
      <w:spacing w:before="200" w:line="271" w:lineRule="auto"/>
      <w:outlineLvl w:val="2"/>
    </w:pPr>
    <w:rPr>
      <w:rFonts w:asciiTheme="majorHAnsi" w:eastAsiaTheme="majorEastAsia" w:hAnsiTheme="majorHAnsi" w:cstheme="majorBidi"/>
      <w:b/>
      <w:bCs/>
      <w:color w:val="5F5F5F"/>
    </w:rPr>
  </w:style>
  <w:style w:type="paragraph" w:styleId="Titre4">
    <w:name w:val="heading 4"/>
    <w:basedOn w:val="Normal"/>
    <w:next w:val="Normal"/>
    <w:link w:val="Titre4Car"/>
    <w:uiPriority w:val="99"/>
    <w:semiHidden/>
    <w:rsid w:val="004C1AE4"/>
    <w:pPr>
      <w:spacing w:before="200"/>
      <w:outlineLvl w:val="3"/>
    </w:pPr>
    <w:rPr>
      <w:rFonts w:asciiTheme="majorHAnsi" w:eastAsiaTheme="majorEastAsia" w:hAnsiTheme="majorHAnsi" w:cstheme="majorBidi"/>
      <w:b/>
      <w:bCs/>
      <w:i/>
      <w:iCs/>
      <w:color w:val="777777"/>
    </w:rPr>
  </w:style>
  <w:style w:type="paragraph" w:styleId="Titre5">
    <w:name w:val="heading 5"/>
    <w:basedOn w:val="Normal"/>
    <w:next w:val="Normal"/>
    <w:link w:val="Titre5Car"/>
    <w:uiPriority w:val="99"/>
    <w:semiHidden/>
    <w:qFormat/>
    <w:rsid w:val="004C1AE4"/>
    <w:pPr>
      <w:spacing w:before="200"/>
      <w:outlineLvl w:val="4"/>
    </w:pPr>
    <w:rPr>
      <w:rFonts w:asciiTheme="majorHAnsi" w:eastAsiaTheme="majorEastAsia" w:hAnsiTheme="majorHAnsi" w:cstheme="majorBidi"/>
      <w:b/>
      <w:bCs/>
      <w:color w:val="808080"/>
      <w:sz w:val="22"/>
      <w:lang w:val="fr-FR" w:eastAsia="fr-FR"/>
    </w:rPr>
  </w:style>
  <w:style w:type="paragraph" w:styleId="Titre6">
    <w:name w:val="heading 6"/>
    <w:basedOn w:val="Normal"/>
    <w:next w:val="Normal"/>
    <w:link w:val="Titre6Car"/>
    <w:uiPriority w:val="99"/>
    <w:semiHidden/>
    <w:rsid w:val="004C1AE4"/>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re7">
    <w:name w:val="heading 7"/>
    <w:basedOn w:val="Normal"/>
    <w:next w:val="Normal"/>
    <w:link w:val="Titre7Car"/>
    <w:uiPriority w:val="99"/>
    <w:semiHidden/>
    <w:qFormat/>
    <w:rsid w:val="004C1AE4"/>
    <w:pPr>
      <w:outlineLvl w:val="6"/>
    </w:pPr>
    <w:rPr>
      <w:rFonts w:asciiTheme="majorHAnsi" w:eastAsiaTheme="majorEastAsia" w:hAnsiTheme="majorHAnsi" w:cstheme="majorBidi"/>
      <w:i/>
      <w:iCs/>
      <w:sz w:val="22"/>
      <w:lang w:val="fr-FR" w:eastAsia="fr-FR" w:bidi="en-US"/>
    </w:rPr>
  </w:style>
  <w:style w:type="paragraph" w:styleId="Titre8">
    <w:name w:val="heading 8"/>
    <w:basedOn w:val="Normal"/>
    <w:next w:val="Normal"/>
    <w:link w:val="Titre8Car"/>
    <w:uiPriority w:val="99"/>
    <w:semiHidden/>
    <w:qFormat/>
    <w:rsid w:val="004C1AE4"/>
    <w:pPr>
      <w:outlineLvl w:val="7"/>
    </w:pPr>
    <w:rPr>
      <w:rFonts w:asciiTheme="majorHAnsi" w:eastAsiaTheme="majorEastAsia" w:hAnsiTheme="majorHAnsi" w:cstheme="majorBidi"/>
      <w:sz w:val="20"/>
      <w:szCs w:val="20"/>
      <w:lang w:val="fr-FR" w:eastAsia="fr-FR" w:bidi="en-US"/>
    </w:rPr>
  </w:style>
  <w:style w:type="paragraph" w:styleId="Titre9">
    <w:name w:val="heading 9"/>
    <w:basedOn w:val="Normal"/>
    <w:next w:val="Normal"/>
    <w:link w:val="Titre9Car"/>
    <w:uiPriority w:val="99"/>
    <w:semiHidden/>
    <w:qFormat/>
    <w:rsid w:val="004C1AE4"/>
    <w:pPr>
      <w:outlineLvl w:val="8"/>
    </w:pPr>
    <w:rPr>
      <w:rFonts w:asciiTheme="majorHAnsi" w:eastAsiaTheme="majorEastAsia" w:hAnsiTheme="majorHAnsi" w:cstheme="majorBidi"/>
      <w:i/>
      <w:iCs/>
      <w:spacing w:val="5"/>
      <w:sz w:val="20"/>
      <w:szCs w:val="20"/>
      <w:lang w:val="fr-FR" w:eastAsia="fr-FR"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HRHeading1">
    <w:name w:val="ECHR_Heading_1"/>
    <w:aliases w:val="Ju_H_I_Roman"/>
    <w:basedOn w:val="Titre1"/>
    <w:next w:val="ECHRPara"/>
    <w:link w:val="JuHIRomanChar"/>
    <w:uiPriority w:val="19"/>
    <w:qFormat/>
    <w:rsid w:val="004C1AE4"/>
    <w:pPr>
      <w:keepNext/>
      <w:keepLines/>
      <w:tabs>
        <w:tab w:val="left" w:pos="357"/>
      </w:tabs>
      <w:spacing w:before="360" w:after="240"/>
      <w:ind w:left="357" w:hanging="357"/>
      <w:contextualSpacing w:val="0"/>
    </w:pPr>
    <w:rPr>
      <w:b w:val="0"/>
      <w:color w:val="auto"/>
      <w:sz w:val="24"/>
      <w:lang w:val="fr-FR" w:eastAsia="fr-FR"/>
    </w:rPr>
  </w:style>
  <w:style w:type="paragraph" w:customStyle="1" w:styleId="ECHRTitle1">
    <w:name w:val="ECHR_Title_1"/>
    <w:aliases w:val="Ju_H_Head"/>
    <w:basedOn w:val="Normal"/>
    <w:next w:val="ECHRPara"/>
    <w:uiPriority w:val="18"/>
    <w:qFormat/>
    <w:rsid w:val="004C1AE4"/>
    <w:pPr>
      <w:keepNext/>
      <w:keepLines/>
      <w:spacing w:before="720" w:after="240"/>
      <w:outlineLvl w:val="0"/>
    </w:pPr>
    <w:rPr>
      <w:rFonts w:asciiTheme="majorHAnsi" w:hAnsiTheme="majorHAnsi"/>
      <w:sz w:val="28"/>
      <w:lang w:val="fr-FR" w:eastAsia="fr-FR"/>
    </w:rPr>
  </w:style>
  <w:style w:type="paragraph" w:customStyle="1" w:styleId="ECHRPara">
    <w:name w:val="ECHR_Para"/>
    <w:aliases w:val="Ju_Para"/>
    <w:basedOn w:val="Normal"/>
    <w:link w:val="ECHRParaChar"/>
    <w:uiPriority w:val="12"/>
    <w:qFormat/>
    <w:rsid w:val="004C1AE4"/>
    <w:pPr>
      <w:ind w:firstLine="284"/>
    </w:pPr>
  </w:style>
  <w:style w:type="character" w:customStyle="1" w:styleId="ECHRParaChar">
    <w:name w:val="ECHR_Para Char"/>
    <w:aliases w:val="Ju_Para Char"/>
    <w:link w:val="ECHRPara"/>
    <w:uiPriority w:val="12"/>
    <w:rsid w:val="009D29DE"/>
    <w:rPr>
      <w:rFonts w:eastAsiaTheme="minorEastAsia"/>
      <w:sz w:val="24"/>
      <w:lang w:val="en-US" w:eastAsia="en-US"/>
    </w:rPr>
  </w:style>
  <w:style w:type="character" w:customStyle="1" w:styleId="JuHIRomanChar">
    <w:name w:val="Ju_H_I_Roman Char"/>
    <w:link w:val="ECHRHeading1"/>
    <w:uiPriority w:val="19"/>
    <w:rsid w:val="00D31210"/>
    <w:rPr>
      <w:rFonts w:asciiTheme="majorHAnsi" w:eastAsiaTheme="majorEastAsia" w:hAnsiTheme="majorHAnsi" w:cstheme="majorBidi"/>
      <w:bCs/>
      <w:sz w:val="24"/>
      <w:szCs w:val="28"/>
    </w:rPr>
  </w:style>
  <w:style w:type="paragraph" w:styleId="Pieddepage">
    <w:name w:val="footer"/>
    <w:basedOn w:val="Normal"/>
    <w:link w:val="PieddepageCar"/>
    <w:uiPriority w:val="57"/>
    <w:semiHidden/>
    <w:rsid w:val="004C1AE4"/>
    <w:pPr>
      <w:tabs>
        <w:tab w:val="center" w:pos="4536"/>
        <w:tab w:val="right" w:pos="9696"/>
      </w:tabs>
      <w:ind w:left="-680" w:right="-680"/>
    </w:pPr>
    <w:rPr>
      <w:rFonts w:eastAsiaTheme="minorHAnsi"/>
    </w:rPr>
  </w:style>
  <w:style w:type="paragraph" w:customStyle="1" w:styleId="ECHRDecisionBody">
    <w:name w:val="ECHR_Decision_Body"/>
    <w:aliases w:val="Ju_Judges"/>
    <w:basedOn w:val="Normal"/>
    <w:link w:val="JuJudgesChar"/>
    <w:uiPriority w:val="11"/>
    <w:qFormat/>
    <w:rsid w:val="004C1AE4"/>
    <w:pPr>
      <w:tabs>
        <w:tab w:val="left" w:pos="567"/>
        <w:tab w:val="left" w:pos="1134"/>
      </w:tabs>
      <w:jc w:val="left"/>
    </w:pPr>
    <w:rPr>
      <w:lang w:val="fr-FR" w:eastAsia="fr-FR"/>
    </w:rPr>
  </w:style>
  <w:style w:type="character" w:customStyle="1" w:styleId="JuJudgesChar">
    <w:name w:val="Ju_Judges Char"/>
    <w:link w:val="ECHRDecisionBody"/>
    <w:uiPriority w:val="11"/>
    <w:rsid w:val="00287191"/>
    <w:rPr>
      <w:rFonts w:eastAsiaTheme="minorEastAsia"/>
      <w:sz w:val="24"/>
    </w:rPr>
  </w:style>
  <w:style w:type="character" w:styleId="lev">
    <w:name w:val="Strong"/>
    <w:uiPriority w:val="99"/>
    <w:semiHidden/>
    <w:qFormat/>
    <w:rsid w:val="004C1AE4"/>
    <w:rPr>
      <w:b/>
      <w:bCs/>
    </w:rPr>
  </w:style>
  <w:style w:type="paragraph" w:customStyle="1" w:styleId="ECHRHeading2">
    <w:name w:val="ECHR_Heading_2"/>
    <w:aliases w:val="Ju_H_A"/>
    <w:basedOn w:val="Titre2"/>
    <w:next w:val="ECHRPara"/>
    <w:uiPriority w:val="20"/>
    <w:qFormat/>
    <w:rsid w:val="004C1AE4"/>
    <w:pPr>
      <w:keepNext/>
      <w:keepLines/>
      <w:tabs>
        <w:tab w:val="left" w:pos="584"/>
      </w:tabs>
      <w:spacing w:before="360" w:after="240"/>
      <w:ind w:left="584" w:hanging="352"/>
    </w:pPr>
    <w:rPr>
      <w:color w:val="auto"/>
      <w:sz w:val="24"/>
      <w:lang w:val="fr-FR" w:eastAsia="fr-FR"/>
    </w:rPr>
  </w:style>
  <w:style w:type="paragraph" w:customStyle="1" w:styleId="ECHRParaQuote">
    <w:name w:val="ECHR_Para_Quote"/>
    <w:aliases w:val="Ju_Quot"/>
    <w:basedOn w:val="Normal"/>
    <w:link w:val="JuQuotChar"/>
    <w:uiPriority w:val="14"/>
    <w:qFormat/>
    <w:rsid w:val="004C1AE4"/>
    <w:pPr>
      <w:spacing w:before="120" w:after="120"/>
      <w:ind w:left="425" w:firstLine="142"/>
    </w:pPr>
    <w:rPr>
      <w:sz w:val="20"/>
      <w:lang w:val="fr-FR" w:eastAsia="fr-FR"/>
    </w:rPr>
  </w:style>
  <w:style w:type="paragraph" w:customStyle="1" w:styleId="JuSigned">
    <w:name w:val="Ju_Signed"/>
    <w:basedOn w:val="Normal"/>
    <w:next w:val="JuParaLast"/>
    <w:uiPriority w:val="32"/>
    <w:qFormat/>
    <w:rsid w:val="004C1AE4"/>
    <w:pPr>
      <w:tabs>
        <w:tab w:val="center" w:pos="851"/>
        <w:tab w:val="center" w:pos="6407"/>
      </w:tabs>
      <w:spacing w:before="720"/>
      <w:jc w:val="left"/>
    </w:pPr>
    <w:rPr>
      <w:lang w:val="fr-FR" w:eastAsia="fr-FR"/>
    </w:rPr>
  </w:style>
  <w:style w:type="paragraph" w:customStyle="1" w:styleId="JuParaLast">
    <w:name w:val="Ju_Para_Last"/>
    <w:basedOn w:val="Normal"/>
    <w:next w:val="ECHRPara"/>
    <w:uiPriority w:val="30"/>
    <w:qFormat/>
    <w:rsid w:val="004C1AE4"/>
    <w:pPr>
      <w:keepNext/>
      <w:keepLines/>
      <w:spacing w:before="240"/>
      <w:ind w:firstLine="284"/>
    </w:pPr>
    <w:rPr>
      <w:lang w:val="fr-FR" w:eastAsia="fr-FR"/>
    </w:rPr>
  </w:style>
  <w:style w:type="paragraph" w:customStyle="1" w:styleId="JuCase">
    <w:name w:val="Ju_Case"/>
    <w:basedOn w:val="Normal"/>
    <w:next w:val="ECHRPara"/>
    <w:uiPriority w:val="10"/>
    <w:rsid w:val="004C1AE4"/>
    <w:pPr>
      <w:ind w:firstLine="284"/>
    </w:pPr>
    <w:rPr>
      <w:b/>
    </w:rPr>
  </w:style>
  <w:style w:type="paragraph" w:customStyle="1" w:styleId="JuList">
    <w:name w:val="Ju_List"/>
    <w:basedOn w:val="Normal"/>
    <w:uiPriority w:val="28"/>
    <w:qFormat/>
    <w:rsid w:val="004C1AE4"/>
    <w:pPr>
      <w:ind w:left="340" w:hanging="340"/>
    </w:pPr>
    <w:rPr>
      <w:lang w:val="fr-FR" w:eastAsia="fr-FR"/>
    </w:rPr>
  </w:style>
  <w:style w:type="paragraph" w:customStyle="1" w:styleId="JuAppQuestion">
    <w:name w:val="Ju_App_Question"/>
    <w:basedOn w:val="Normal"/>
    <w:uiPriority w:val="5"/>
    <w:rsid w:val="004C1AE4"/>
    <w:pPr>
      <w:numPr>
        <w:numId w:val="2"/>
      </w:numPr>
      <w:jc w:val="left"/>
    </w:pPr>
    <w:rPr>
      <w:b/>
    </w:rPr>
  </w:style>
  <w:style w:type="paragraph" w:styleId="Notedebasdepage">
    <w:name w:val="footnote text"/>
    <w:basedOn w:val="Normal"/>
    <w:link w:val="NotedebasdepageCar"/>
    <w:uiPriority w:val="99"/>
    <w:semiHidden/>
    <w:rsid w:val="004C1AE4"/>
    <w:rPr>
      <w:sz w:val="20"/>
      <w:szCs w:val="20"/>
    </w:rPr>
  </w:style>
  <w:style w:type="character" w:styleId="Marquenotebasdepage">
    <w:name w:val="footnote reference"/>
    <w:basedOn w:val="Policepardfaut"/>
    <w:uiPriority w:val="99"/>
    <w:semiHidden/>
    <w:rsid w:val="004C1AE4"/>
    <w:rPr>
      <w:vertAlign w:val="superscript"/>
    </w:rPr>
  </w:style>
  <w:style w:type="paragraph" w:styleId="En-tte">
    <w:name w:val="header"/>
    <w:basedOn w:val="Normal"/>
    <w:link w:val="En-tteCar"/>
    <w:uiPriority w:val="57"/>
    <w:semiHidden/>
    <w:rsid w:val="004C1AE4"/>
    <w:pPr>
      <w:tabs>
        <w:tab w:val="center" w:pos="4536"/>
        <w:tab w:val="right" w:pos="9072"/>
      </w:tabs>
    </w:pPr>
    <w:rPr>
      <w:rFonts w:eastAsiaTheme="minorHAnsi"/>
    </w:rPr>
  </w:style>
  <w:style w:type="character" w:styleId="Numrodepage">
    <w:name w:val="page number"/>
    <w:uiPriority w:val="99"/>
    <w:semiHidden/>
    <w:rsid w:val="004219F0"/>
    <w:rPr>
      <w:rFonts w:ascii="Times New Roman" w:hAnsi="Times New Roman" w:cs="Times New Roman"/>
      <w:sz w:val="18"/>
    </w:rPr>
  </w:style>
  <w:style w:type="paragraph" w:customStyle="1" w:styleId="JuLista">
    <w:name w:val="Ju_List_a"/>
    <w:basedOn w:val="JuList"/>
    <w:uiPriority w:val="28"/>
    <w:qFormat/>
    <w:rsid w:val="004C1AE4"/>
    <w:pPr>
      <w:ind w:left="346" w:firstLine="0"/>
    </w:pPr>
  </w:style>
  <w:style w:type="paragraph" w:customStyle="1" w:styleId="JuListi">
    <w:name w:val="Ju_List_i"/>
    <w:basedOn w:val="Normal"/>
    <w:next w:val="JuLista"/>
    <w:uiPriority w:val="28"/>
    <w:qFormat/>
    <w:rsid w:val="004C1AE4"/>
    <w:pPr>
      <w:ind w:left="794"/>
    </w:pPr>
    <w:rPr>
      <w:lang w:val="fr-FR" w:eastAsia="fr-FR"/>
    </w:rPr>
  </w:style>
  <w:style w:type="character" w:styleId="Marquedannotation">
    <w:name w:val="annotation reference"/>
    <w:uiPriority w:val="99"/>
    <w:semiHidden/>
    <w:rPr>
      <w:sz w:val="16"/>
    </w:rPr>
  </w:style>
  <w:style w:type="paragraph" w:styleId="Commentaire">
    <w:name w:val="annotation text"/>
    <w:basedOn w:val="Normal"/>
    <w:uiPriority w:val="99"/>
    <w:semiHidden/>
    <w:rPr>
      <w:sz w:val="20"/>
    </w:rPr>
  </w:style>
  <w:style w:type="paragraph" w:styleId="Textedebulles">
    <w:name w:val="Balloon Text"/>
    <w:basedOn w:val="Normal"/>
    <w:link w:val="TextedebullesCar"/>
    <w:uiPriority w:val="99"/>
    <w:semiHidden/>
    <w:rsid w:val="004C1AE4"/>
    <w:rPr>
      <w:rFonts w:ascii="Tahoma" w:hAnsi="Tahoma" w:cs="Tahoma"/>
      <w:sz w:val="16"/>
      <w:szCs w:val="16"/>
    </w:rPr>
  </w:style>
  <w:style w:type="character" w:styleId="Lienhypertexte">
    <w:name w:val="Hyperlink"/>
    <w:basedOn w:val="Policepardfaut"/>
    <w:uiPriority w:val="99"/>
    <w:semiHidden/>
    <w:rsid w:val="004C1AE4"/>
    <w:rPr>
      <w:color w:val="0072BC" w:themeColor="hyperlink"/>
      <w:u w:val="single"/>
    </w:rPr>
  </w:style>
  <w:style w:type="character" w:styleId="Marquedenotedefin">
    <w:name w:val="endnote reference"/>
    <w:uiPriority w:val="99"/>
    <w:semiHidden/>
    <w:rsid w:val="004219F0"/>
    <w:rPr>
      <w:rFonts w:ascii="Times New Roman" w:hAnsi="Times New Roman" w:cs="Times New Roman"/>
      <w:vertAlign w:val="superscript"/>
    </w:rPr>
  </w:style>
  <w:style w:type="paragraph" w:styleId="Notedefin">
    <w:name w:val="endnote text"/>
    <w:basedOn w:val="Normal"/>
    <w:uiPriority w:val="99"/>
    <w:semiHidden/>
    <w:rsid w:val="004219F0"/>
    <w:rPr>
      <w:sz w:val="20"/>
    </w:rPr>
  </w:style>
  <w:style w:type="character" w:styleId="Lienhypertextesuivi">
    <w:name w:val="FollowedHyperlink"/>
    <w:uiPriority w:val="99"/>
    <w:semiHidden/>
    <w:rsid w:val="004219F0"/>
    <w:rPr>
      <w:rFonts w:ascii="Times New Roman" w:hAnsi="Times New Roman" w:cs="Times New Roman"/>
      <w:color w:val="800080"/>
      <w:u w:val="single"/>
    </w:rPr>
  </w:style>
  <w:style w:type="paragraph" w:styleId="Listepuces">
    <w:name w:val="List Bullet"/>
    <w:basedOn w:val="Normal"/>
    <w:uiPriority w:val="99"/>
    <w:semiHidden/>
    <w:rsid w:val="00387F24"/>
    <w:pPr>
      <w:numPr>
        <w:numId w:val="1"/>
      </w:numPr>
    </w:pPr>
  </w:style>
  <w:style w:type="paragraph" w:customStyle="1" w:styleId="OpiPara">
    <w:name w:val="Opi_Para"/>
    <w:basedOn w:val="ECHRPara"/>
    <w:uiPriority w:val="46"/>
    <w:qFormat/>
    <w:rsid w:val="004C1AE4"/>
  </w:style>
  <w:style w:type="paragraph" w:styleId="Objetducommentaire">
    <w:name w:val="annotation subject"/>
    <w:basedOn w:val="Commentaire"/>
    <w:next w:val="Commentaire"/>
    <w:uiPriority w:val="99"/>
    <w:semiHidden/>
    <w:rsid w:val="00E27B15"/>
    <w:rPr>
      <w:b/>
      <w:bCs/>
    </w:rPr>
  </w:style>
  <w:style w:type="paragraph" w:styleId="Explorateurdedocument">
    <w:name w:val="Document Map"/>
    <w:basedOn w:val="Normal"/>
    <w:uiPriority w:val="99"/>
    <w:semiHidden/>
    <w:rsid w:val="00B33C50"/>
    <w:pPr>
      <w:shd w:val="clear" w:color="auto" w:fill="000080"/>
    </w:pPr>
    <w:rPr>
      <w:rFonts w:ascii="Tahoma" w:hAnsi="Tahoma" w:cs="Tahoma"/>
      <w:sz w:val="20"/>
    </w:rPr>
  </w:style>
  <w:style w:type="paragraph" w:customStyle="1" w:styleId="JuParaSub">
    <w:name w:val="Ju_Para_Sub"/>
    <w:basedOn w:val="ECHRPara"/>
    <w:uiPriority w:val="13"/>
    <w:qFormat/>
    <w:rsid w:val="004C1AE4"/>
    <w:pPr>
      <w:ind w:left="284"/>
    </w:pPr>
  </w:style>
  <w:style w:type="character" w:customStyle="1" w:styleId="Titre1Car">
    <w:name w:val="Titre 1 Car"/>
    <w:basedOn w:val="Policepardfaut"/>
    <w:link w:val="Titre1"/>
    <w:uiPriority w:val="99"/>
    <w:semiHidden/>
    <w:rsid w:val="004C1AE4"/>
    <w:rPr>
      <w:rFonts w:asciiTheme="majorHAnsi" w:eastAsiaTheme="majorEastAsia" w:hAnsiTheme="majorHAnsi" w:cstheme="majorBidi"/>
      <w:b/>
      <w:bCs/>
      <w:color w:val="333333"/>
      <w:sz w:val="28"/>
      <w:szCs w:val="28"/>
      <w:lang w:val="en-US" w:eastAsia="en-US"/>
    </w:rPr>
  </w:style>
  <w:style w:type="character" w:customStyle="1" w:styleId="Titre2Car">
    <w:name w:val="Titre 2 Car"/>
    <w:basedOn w:val="Policepardfaut"/>
    <w:link w:val="Titre2"/>
    <w:uiPriority w:val="99"/>
    <w:semiHidden/>
    <w:rsid w:val="004C1AE4"/>
    <w:rPr>
      <w:rFonts w:asciiTheme="majorHAnsi" w:eastAsiaTheme="majorEastAsia" w:hAnsiTheme="majorHAnsi" w:cstheme="majorBidi"/>
      <w:b/>
      <w:bCs/>
      <w:color w:val="4D4D4D"/>
      <w:sz w:val="26"/>
      <w:szCs w:val="26"/>
      <w:lang w:val="en-US" w:eastAsia="en-US"/>
    </w:rPr>
  </w:style>
  <w:style w:type="character" w:customStyle="1" w:styleId="Titre3Car">
    <w:name w:val="Titre 3 Car"/>
    <w:basedOn w:val="Policepardfaut"/>
    <w:link w:val="Titre3"/>
    <w:uiPriority w:val="99"/>
    <w:semiHidden/>
    <w:rsid w:val="004C1AE4"/>
    <w:rPr>
      <w:rFonts w:asciiTheme="majorHAnsi" w:eastAsiaTheme="majorEastAsia" w:hAnsiTheme="majorHAnsi" w:cstheme="majorBidi"/>
      <w:b/>
      <w:bCs/>
      <w:color w:val="5F5F5F"/>
      <w:sz w:val="24"/>
      <w:lang w:val="en-US" w:eastAsia="en-US"/>
    </w:rPr>
  </w:style>
  <w:style w:type="character" w:customStyle="1" w:styleId="Titre4Car">
    <w:name w:val="Titre 4 Car"/>
    <w:basedOn w:val="Policepardfaut"/>
    <w:link w:val="Titre4"/>
    <w:uiPriority w:val="99"/>
    <w:semiHidden/>
    <w:rsid w:val="004C1AE4"/>
    <w:rPr>
      <w:rFonts w:asciiTheme="majorHAnsi" w:eastAsiaTheme="majorEastAsia" w:hAnsiTheme="majorHAnsi" w:cstheme="majorBidi"/>
      <w:b/>
      <w:bCs/>
      <w:i/>
      <w:iCs/>
      <w:color w:val="777777"/>
      <w:sz w:val="24"/>
      <w:lang w:val="en-US" w:eastAsia="en-US"/>
    </w:rPr>
  </w:style>
  <w:style w:type="character" w:customStyle="1" w:styleId="Titre5Car">
    <w:name w:val="Titre 5 Car"/>
    <w:basedOn w:val="Policepardfaut"/>
    <w:link w:val="Titre5"/>
    <w:uiPriority w:val="99"/>
    <w:semiHidden/>
    <w:rsid w:val="004C1AE4"/>
    <w:rPr>
      <w:rFonts w:asciiTheme="majorHAnsi" w:eastAsiaTheme="majorEastAsia" w:hAnsiTheme="majorHAnsi" w:cstheme="majorBidi"/>
      <w:b/>
      <w:bCs/>
      <w:color w:val="808080"/>
    </w:rPr>
  </w:style>
  <w:style w:type="character" w:customStyle="1" w:styleId="Titre6Car">
    <w:name w:val="Titre 6 Car"/>
    <w:basedOn w:val="Policepardfaut"/>
    <w:link w:val="Titre6"/>
    <w:uiPriority w:val="99"/>
    <w:semiHidden/>
    <w:rsid w:val="004C1AE4"/>
    <w:rPr>
      <w:rFonts w:asciiTheme="majorHAnsi" w:eastAsiaTheme="majorEastAsia" w:hAnsiTheme="majorHAnsi" w:cstheme="majorBidi"/>
      <w:b/>
      <w:bCs/>
      <w:i/>
      <w:iCs/>
      <w:color w:val="7F7F7F" w:themeColor="text1" w:themeTint="80"/>
      <w:sz w:val="24"/>
      <w:lang w:val="en-US" w:eastAsia="en-US" w:bidi="en-US"/>
    </w:rPr>
  </w:style>
  <w:style w:type="character" w:customStyle="1" w:styleId="Titre7Car">
    <w:name w:val="Titre 7 Car"/>
    <w:basedOn w:val="Policepardfaut"/>
    <w:link w:val="Titre7"/>
    <w:uiPriority w:val="99"/>
    <w:semiHidden/>
    <w:rsid w:val="004C1AE4"/>
    <w:rPr>
      <w:rFonts w:asciiTheme="majorHAnsi" w:eastAsiaTheme="majorEastAsia" w:hAnsiTheme="majorHAnsi" w:cstheme="majorBidi"/>
      <w:i/>
      <w:iCs/>
      <w:lang w:bidi="en-US"/>
    </w:rPr>
  </w:style>
  <w:style w:type="character" w:customStyle="1" w:styleId="Titre8Car">
    <w:name w:val="Titre 8 Car"/>
    <w:basedOn w:val="Policepardfaut"/>
    <w:link w:val="Titre8"/>
    <w:uiPriority w:val="99"/>
    <w:semiHidden/>
    <w:rsid w:val="004C1AE4"/>
    <w:rPr>
      <w:rFonts w:asciiTheme="majorHAnsi" w:eastAsiaTheme="majorEastAsia" w:hAnsiTheme="majorHAnsi" w:cstheme="majorBidi"/>
      <w:sz w:val="20"/>
      <w:szCs w:val="20"/>
      <w:lang w:bidi="en-US"/>
    </w:rPr>
  </w:style>
  <w:style w:type="character" w:customStyle="1" w:styleId="Titre9Car">
    <w:name w:val="Titre 9 Car"/>
    <w:basedOn w:val="Policepardfaut"/>
    <w:link w:val="Titre9"/>
    <w:uiPriority w:val="99"/>
    <w:semiHidden/>
    <w:rsid w:val="004C1AE4"/>
    <w:rPr>
      <w:rFonts w:asciiTheme="majorHAnsi" w:eastAsiaTheme="majorEastAsia" w:hAnsiTheme="majorHAnsi" w:cstheme="majorBidi"/>
      <w:i/>
      <w:iCs/>
      <w:spacing w:val="5"/>
      <w:sz w:val="20"/>
      <w:szCs w:val="20"/>
      <w:lang w:bidi="en-US"/>
    </w:rPr>
  </w:style>
  <w:style w:type="character" w:customStyle="1" w:styleId="TextedebullesCar">
    <w:name w:val="Texte de bulles Car"/>
    <w:basedOn w:val="Policepardfaut"/>
    <w:link w:val="Textedebulles"/>
    <w:uiPriority w:val="99"/>
    <w:semiHidden/>
    <w:rsid w:val="004C1AE4"/>
    <w:rPr>
      <w:rFonts w:ascii="Tahoma" w:eastAsiaTheme="minorEastAsia" w:hAnsi="Tahoma" w:cs="Tahoma"/>
      <w:sz w:val="16"/>
      <w:szCs w:val="16"/>
      <w:lang w:val="en-US" w:eastAsia="en-US"/>
    </w:rPr>
  </w:style>
  <w:style w:type="character" w:styleId="Titredulivre">
    <w:name w:val="Book Title"/>
    <w:uiPriority w:val="99"/>
    <w:semiHidden/>
    <w:qFormat/>
    <w:rsid w:val="004C1AE4"/>
    <w:rPr>
      <w:i/>
      <w:iCs/>
      <w:smallCaps/>
      <w:spacing w:val="5"/>
    </w:rPr>
  </w:style>
  <w:style w:type="paragraph" w:styleId="Sansinterligne">
    <w:name w:val="No Spacing"/>
    <w:basedOn w:val="Normal"/>
    <w:link w:val="SansinterligneCar"/>
    <w:semiHidden/>
    <w:qFormat/>
    <w:rsid w:val="004C1AE4"/>
    <w:rPr>
      <w:sz w:val="22"/>
      <w:lang w:val="fr-FR" w:eastAsia="fr-FR"/>
    </w:rPr>
  </w:style>
  <w:style w:type="character" w:customStyle="1" w:styleId="SansinterligneCar">
    <w:name w:val="Sans interligne Car"/>
    <w:basedOn w:val="Policepardfaut"/>
    <w:link w:val="Sansinterligne"/>
    <w:semiHidden/>
    <w:rsid w:val="004C1AE4"/>
    <w:rPr>
      <w:rFonts w:eastAsiaTheme="minorEastAsia"/>
    </w:rPr>
  </w:style>
  <w:style w:type="paragraph" w:styleId="Titre">
    <w:name w:val="Title"/>
    <w:basedOn w:val="Normal"/>
    <w:next w:val="Normal"/>
    <w:link w:val="TitreCar"/>
    <w:uiPriority w:val="99"/>
    <w:semiHidden/>
    <w:qFormat/>
    <w:rsid w:val="004C1AE4"/>
    <w:pPr>
      <w:pBdr>
        <w:bottom w:val="single" w:sz="4" w:space="1" w:color="auto"/>
      </w:pBdr>
      <w:contextualSpacing/>
    </w:pPr>
    <w:rPr>
      <w:rFonts w:asciiTheme="majorHAnsi" w:eastAsiaTheme="majorEastAsia" w:hAnsiTheme="majorHAnsi" w:cstheme="majorBidi"/>
      <w:spacing w:val="5"/>
      <w:sz w:val="52"/>
      <w:szCs w:val="52"/>
      <w:lang w:val="fr-FR" w:eastAsia="fr-FR" w:bidi="en-US"/>
    </w:rPr>
  </w:style>
  <w:style w:type="character" w:customStyle="1" w:styleId="TitreCar">
    <w:name w:val="Titre Car"/>
    <w:basedOn w:val="Policepardfaut"/>
    <w:link w:val="Titre"/>
    <w:uiPriority w:val="99"/>
    <w:semiHidden/>
    <w:rsid w:val="004C1AE4"/>
    <w:rPr>
      <w:rFonts w:asciiTheme="majorHAnsi" w:eastAsiaTheme="majorEastAsia" w:hAnsiTheme="majorHAnsi" w:cstheme="majorBidi"/>
      <w:spacing w:val="5"/>
      <w:sz w:val="52"/>
      <w:szCs w:val="52"/>
      <w:lang w:bidi="en-US"/>
    </w:rPr>
  </w:style>
  <w:style w:type="paragraph" w:styleId="Sous-titre">
    <w:name w:val="Subtitle"/>
    <w:basedOn w:val="Normal"/>
    <w:next w:val="Normal"/>
    <w:link w:val="Sous-titreCar"/>
    <w:uiPriority w:val="99"/>
    <w:semiHidden/>
    <w:qFormat/>
    <w:rsid w:val="004C1AE4"/>
    <w:pPr>
      <w:spacing w:after="600"/>
    </w:pPr>
    <w:rPr>
      <w:rFonts w:asciiTheme="majorHAnsi" w:eastAsiaTheme="majorEastAsia" w:hAnsiTheme="majorHAnsi" w:cstheme="majorBidi"/>
      <w:i/>
      <w:iCs/>
      <w:spacing w:val="13"/>
      <w:szCs w:val="24"/>
      <w:lang w:val="fr-FR" w:eastAsia="fr-FR" w:bidi="en-US"/>
    </w:rPr>
  </w:style>
  <w:style w:type="character" w:customStyle="1" w:styleId="Sous-titreCar">
    <w:name w:val="Sous-titre Car"/>
    <w:basedOn w:val="Policepardfaut"/>
    <w:link w:val="Sous-titre"/>
    <w:uiPriority w:val="99"/>
    <w:semiHidden/>
    <w:rsid w:val="004C1AE4"/>
    <w:rPr>
      <w:rFonts w:asciiTheme="majorHAnsi" w:eastAsiaTheme="majorEastAsia" w:hAnsiTheme="majorHAnsi" w:cstheme="majorBidi"/>
      <w:i/>
      <w:iCs/>
      <w:spacing w:val="13"/>
      <w:sz w:val="24"/>
      <w:szCs w:val="24"/>
      <w:lang w:bidi="en-US"/>
    </w:rPr>
  </w:style>
  <w:style w:type="paragraph" w:customStyle="1" w:styleId="ECHRFooter">
    <w:name w:val="ECHR_Footer"/>
    <w:aliases w:val="Footer_ECHR"/>
    <w:basedOn w:val="Pieddepage"/>
    <w:uiPriority w:val="57"/>
    <w:semiHidden/>
    <w:rsid w:val="004C1AE4"/>
    <w:pPr>
      <w:jc w:val="left"/>
    </w:pPr>
    <w:rPr>
      <w:sz w:val="8"/>
    </w:rPr>
  </w:style>
  <w:style w:type="paragraph" w:customStyle="1" w:styleId="ECHRFooterLine">
    <w:name w:val="ECHR_Footer_Line"/>
    <w:aliases w:val="Footer_Line"/>
    <w:basedOn w:val="Normal"/>
    <w:next w:val="ECHRFooter"/>
    <w:uiPriority w:val="57"/>
    <w:semiHidden/>
    <w:rsid w:val="004C1AE4"/>
    <w:pPr>
      <w:pBdr>
        <w:top w:val="single" w:sz="6" w:space="1" w:color="5F5F5F"/>
      </w:pBdr>
      <w:tabs>
        <w:tab w:val="center" w:pos="4536"/>
        <w:tab w:val="right" w:pos="9696"/>
      </w:tabs>
      <w:ind w:left="-680" w:right="-680"/>
      <w:jc w:val="left"/>
    </w:pPr>
    <w:rPr>
      <w:color w:val="5F5F5F"/>
    </w:rPr>
  </w:style>
  <w:style w:type="character" w:customStyle="1" w:styleId="En-tteCar">
    <w:name w:val="En-tête Car"/>
    <w:basedOn w:val="Policepardfaut"/>
    <w:link w:val="En-tte"/>
    <w:uiPriority w:val="57"/>
    <w:semiHidden/>
    <w:rsid w:val="004C1AE4"/>
    <w:rPr>
      <w:sz w:val="24"/>
      <w:lang w:val="en-US" w:eastAsia="en-US"/>
    </w:rPr>
  </w:style>
  <w:style w:type="paragraph" w:customStyle="1" w:styleId="ECHRHeader">
    <w:name w:val="ECHR_Header"/>
    <w:aliases w:val="Ju_Header"/>
    <w:basedOn w:val="En-tte"/>
    <w:uiPriority w:val="4"/>
    <w:qFormat/>
    <w:rsid w:val="004C1AE4"/>
    <w:pPr>
      <w:tabs>
        <w:tab w:val="clear" w:pos="4536"/>
        <w:tab w:val="clear" w:pos="9072"/>
        <w:tab w:val="center" w:pos="3686"/>
        <w:tab w:val="right" w:pos="7371"/>
      </w:tabs>
      <w:jc w:val="left"/>
    </w:pPr>
    <w:rPr>
      <w:sz w:val="18"/>
      <w:lang w:val="fr-FR" w:eastAsia="fr-FR"/>
    </w:rPr>
  </w:style>
  <w:style w:type="character" w:styleId="Accentuationdiscrte">
    <w:name w:val="Subtle Emphasis"/>
    <w:uiPriority w:val="99"/>
    <w:semiHidden/>
    <w:qFormat/>
    <w:rsid w:val="004C1AE4"/>
    <w:rPr>
      <w:i/>
      <w:iCs/>
    </w:rPr>
  </w:style>
  <w:style w:type="character" w:styleId="Accentuation">
    <w:name w:val="Emphasis"/>
    <w:uiPriority w:val="99"/>
    <w:semiHidden/>
    <w:qFormat/>
    <w:rsid w:val="004C1AE4"/>
    <w:rPr>
      <w:b/>
      <w:bCs/>
      <w:i/>
      <w:iCs/>
      <w:spacing w:val="10"/>
      <w:bdr w:val="none" w:sz="0" w:space="0" w:color="auto"/>
      <w:shd w:val="clear" w:color="auto" w:fill="auto"/>
    </w:rPr>
  </w:style>
  <w:style w:type="character" w:customStyle="1" w:styleId="PieddepageCar">
    <w:name w:val="Pied de page Car"/>
    <w:basedOn w:val="Policepardfaut"/>
    <w:link w:val="Pieddepage"/>
    <w:uiPriority w:val="57"/>
    <w:semiHidden/>
    <w:rsid w:val="004C1AE4"/>
    <w:rPr>
      <w:sz w:val="24"/>
      <w:lang w:val="en-US" w:eastAsia="en-US"/>
    </w:rPr>
  </w:style>
  <w:style w:type="character" w:customStyle="1" w:styleId="NotedebasdepageCar">
    <w:name w:val="Note de bas de page Car"/>
    <w:basedOn w:val="Policepardfaut"/>
    <w:link w:val="Notedebasdepage"/>
    <w:uiPriority w:val="99"/>
    <w:semiHidden/>
    <w:rsid w:val="004C1AE4"/>
    <w:rPr>
      <w:rFonts w:eastAsiaTheme="minorEastAsia"/>
      <w:sz w:val="20"/>
      <w:szCs w:val="20"/>
      <w:lang w:val="en-US" w:eastAsia="en-US"/>
    </w:rPr>
  </w:style>
  <w:style w:type="character" w:styleId="Forteaccentuation">
    <w:name w:val="Intense Emphasis"/>
    <w:uiPriority w:val="99"/>
    <w:semiHidden/>
    <w:qFormat/>
    <w:rsid w:val="004C1AE4"/>
    <w:rPr>
      <w:b/>
      <w:bCs/>
    </w:rPr>
  </w:style>
  <w:style w:type="paragraph" w:styleId="Citationintense">
    <w:name w:val="Intense Quote"/>
    <w:basedOn w:val="Normal"/>
    <w:next w:val="Normal"/>
    <w:link w:val="CitationintenseCar"/>
    <w:uiPriority w:val="99"/>
    <w:semiHidden/>
    <w:qFormat/>
    <w:rsid w:val="004C1AE4"/>
    <w:pPr>
      <w:pBdr>
        <w:bottom w:val="single" w:sz="4" w:space="1" w:color="auto"/>
      </w:pBdr>
      <w:spacing w:before="200" w:after="280"/>
      <w:ind w:left="1008" w:right="1152"/>
    </w:pPr>
    <w:rPr>
      <w:b/>
      <w:bCs/>
      <w:i/>
      <w:iCs/>
      <w:sz w:val="22"/>
      <w:lang w:val="fr-FR" w:eastAsia="fr-FR" w:bidi="en-US"/>
    </w:rPr>
  </w:style>
  <w:style w:type="character" w:customStyle="1" w:styleId="CitationintenseCar">
    <w:name w:val="Citation intense Car"/>
    <w:basedOn w:val="Policepardfaut"/>
    <w:link w:val="Citationintense"/>
    <w:uiPriority w:val="99"/>
    <w:semiHidden/>
    <w:rsid w:val="004C1AE4"/>
    <w:rPr>
      <w:rFonts w:eastAsiaTheme="minorEastAsia"/>
      <w:b/>
      <w:bCs/>
      <w:i/>
      <w:iCs/>
      <w:lang w:bidi="en-US"/>
    </w:rPr>
  </w:style>
  <w:style w:type="character" w:styleId="Rfrenceintense">
    <w:name w:val="Intense Reference"/>
    <w:uiPriority w:val="99"/>
    <w:semiHidden/>
    <w:qFormat/>
    <w:rsid w:val="004C1AE4"/>
    <w:rPr>
      <w:smallCaps/>
      <w:spacing w:val="5"/>
      <w:u w:val="single"/>
    </w:rPr>
  </w:style>
  <w:style w:type="paragraph" w:customStyle="1" w:styleId="OpiParaSub">
    <w:name w:val="Opi_Para_Sub"/>
    <w:basedOn w:val="JuParaSub"/>
    <w:uiPriority w:val="47"/>
    <w:qFormat/>
    <w:rsid w:val="004C1AE4"/>
  </w:style>
  <w:style w:type="paragraph" w:customStyle="1" w:styleId="OpiQuot">
    <w:name w:val="Opi_Quot"/>
    <w:basedOn w:val="ECHRParaQuote"/>
    <w:uiPriority w:val="48"/>
    <w:qFormat/>
    <w:rsid w:val="004C1AE4"/>
  </w:style>
  <w:style w:type="paragraph" w:customStyle="1" w:styleId="OpiQuotSub">
    <w:name w:val="Opi_Quot_Sub"/>
    <w:basedOn w:val="JuQuotSub"/>
    <w:uiPriority w:val="49"/>
    <w:qFormat/>
    <w:rsid w:val="004C1AE4"/>
  </w:style>
  <w:style w:type="paragraph" w:customStyle="1" w:styleId="JuTitle">
    <w:name w:val="Ju_Title"/>
    <w:basedOn w:val="Normal"/>
    <w:next w:val="ECHRPara"/>
    <w:uiPriority w:val="3"/>
    <w:rsid w:val="004C1AE4"/>
    <w:pPr>
      <w:spacing w:before="720" w:after="240"/>
      <w:jc w:val="center"/>
      <w:outlineLvl w:val="0"/>
    </w:pPr>
    <w:rPr>
      <w:rFonts w:asciiTheme="majorHAnsi" w:hAnsiTheme="majorHAnsi"/>
      <w:b/>
      <w:caps/>
    </w:rPr>
  </w:style>
  <w:style w:type="paragraph" w:customStyle="1" w:styleId="JuQuotSub">
    <w:name w:val="Ju_Quot_Sub"/>
    <w:basedOn w:val="ECHRParaQuote"/>
    <w:uiPriority w:val="15"/>
    <w:qFormat/>
    <w:rsid w:val="004C1AE4"/>
    <w:pPr>
      <w:ind w:left="567"/>
    </w:pPr>
  </w:style>
  <w:style w:type="paragraph" w:customStyle="1" w:styleId="JuInitialled">
    <w:name w:val="Ju_Initialled"/>
    <w:basedOn w:val="Normal"/>
    <w:uiPriority w:val="31"/>
    <w:qFormat/>
    <w:rsid w:val="004C1AE4"/>
    <w:pPr>
      <w:tabs>
        <w:tab w:val="center" w:pos="6407"/>
      </w:tabs>
      <w:spacing w:before="720"/>
      <w:jc w:val="right"/>
    </w:pPr>
    <w:rPr>
      <w:lang w:val="fr-FR" w:eastAsia="fr-FR"/>
    </w:rPr>
  </w:style>
  <w:style w:type="paragraph" w:styleId="Paragraphedeliste">
    <w:name w:val="List Paragraph"/>
    <w:basedOn w:val="Normal"/>
    <w:uiPriority w:val="99"/>
    <w:semiHidden/>
    <w:qFormat/>
    <w:rsid w:val="004C1AE4"/>
    <w:pPr>
      <w:ind w:left="720"/>
      <w:contextualSpacing/>
    </w:pPr>
    <w:rPr>
      <w:lang w:val="fr-FR" w:eastAsia="fr-FR"/>
    </w:rPr>
  </w:style>
  <w:style w:type="paragraph" w:styleId="Citation">
    <w:name w:val="Quote"/>
    <w:basedOn w:val="Normal"/>
    <w:next w:val="Normal"/>
    <w:link w:val="CitationCar"/>
    <w:uiPriority w:val="99"/>
    <w:semiHidden/>
    <w:qFormat/>
    <w:rsid w:val="004C1AE4"/>
    <w:pPr>
      <w:spacing w:before="200"/>
      <w:ind w:left="360" w:right="360"/>
    </w:pPr>
    <w:rPr>
      <w:i/>
      <w:iCs/>
      <w:sz w:val="22"/>
      <w:lang w:val="fr-FR" w:eastAsia="fr-FR" w:bidi="en-US"/>
    </w:rPr>
  </w:style>
  <w:style w:type="character" w:customStyle="1" w:styleId="CitationCar">
    <w:name w:val="Citation Car"/>
    <w:basedOn w:val="Policepardfaut"/>
    <w:link w:val="Citation"/>
    <w:uiPriority w:val="99"/>
    <w:semiHidden/>
    <w:rsid w:val="004C1AE4"/>
    <w:rPr>
      <w:rFonts w:eastAsiaTheme="minorEastAsia"/>
      <w:i/>
      <w:iCs/>
      <w:lang w:bidi="en-US"/>
    </w:rPr>
  </w:style>
  <w:style w:type="character" w:styleId="Rfrenceple">
    <w:name w:val="Subtle Reference"/>
    <w:uiPriority w:val="99"/>
    <w:semiHidden/>
    <w:qFormat/>
    <w:rsid w:val="004C1AE4"/>
    <w:rPr>
      <w:smallCaps/>
    </w:rPr>
  </w:style>
  <w:style w:type="table" w:styleId="Grille">
    <w:name w:val="Table Grid"/>
    <w:basedOn w:val="TableauNormal"/>
    <w:uiPriority w:val="59"/>
    <w:semiHidden/>
    <w:rsid w:val="004C1AE4"/>
    <w:rPr>
      <w:rFonts w:eastAsiaTheme="minorEastAs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1">
    <w:name w:val="toc 1"/>
    <w:basedOn w:val="Normal"/>
    <w:next w:val="Normal"/>
    <w:autoRedefine/>
    <w:uiPriority w:val="99"/>
    <w:semiHidden/>
    <w:rsid w:val="004C1AE4"/>
    <w:pPr>
      <w:spacing w:before="120" w:after="60"/>
      <w:ind w:left="340" w:right="340" w:hanging="340"/>
    </w:pPr>
    <w:rPr>
      <w:color w:val="0D0D0D" w:themeColor="text1" w:themeTint="F2"/>
    </w:rPr>
  </w:style>
  <w:style w:type="paragraph" w:styleId="TM2">
    <w:name w:val="toc 2"/>
    <w:basedOn w:val="Normal"/>
    <w:next w:val="Normal"/>
    <w:autoRedefine/>
    <w:uiPriority w:val="99"/>
    <w:semiHidden/>
    <w:rsid w:val="004C1AE4"/>
    <w:pPr>
      <w:spacing w:after="60"/>
      <w:ind w:left="680" w:right="340" w:hanging="340"/>
    </w:pPr>
  </w:style>
  <w:style w:type="paragraph" w:styleId="TM3">
    <w:name w:val="toc 3"/>
    <w:basedOn w:val="Normal"/>
    <w:next w:val="Normal"/>
    <w:autoRedefine/>
    <w:uiPriority w:val="99"/>
    <w:semiHidden/>
    <w:rsid w:val="004C1AE4"/>
    <w:pPr>
      <w:spacing w:after="60"/>
      <w:ind w:left="1020" w:right="340" w:hanging="340"/>
    </w:pPr>
  </w:style>
  <w:style w:type="paragraph" w:styleId="TM4">
    <w:name w:val="toc 4"/>
    <w:basedOn w:val="Normal"/>
    <w:next w:val="Normal"/>
    <w:autoRedefine/>
    <w:uiPriority w:val="99"/>
    <w:semiHidden/>
    <w:rsid w:val="004C1AE4"/>
    <w:pPr>
      <w:tabs>
        <w:tab w:val="right" w:leader="dot" w:pos="9017"/>
      </w:tabs>
      <w:spacing w:after="60"/>
      <w:ind w:left="1361" w:right="340" w:hanging="340"/>
    </w:pPr>
  </w:style>
  <w:style w:type="paragraph" w:styleId="TM5">
    <w:name w:val="toc 5"/>
    <w:basedOn w:val="Normal"/>
    <w:next w:val="Normal"/>
    <w:autoRedefine/>
    <w:uiPriority w:val="99"/>
    <w:semiHidden/>
    <w:rsid w:val="004C1AE4"/>
    <w:pPr>
      <w:spacing w:after="60"/>
      <w:ind w:left="1701" w:right="340" w:hanging="340"/>
    </w:pPr>
  </w:style>
  <w:style w:type="paragraph" w:styleId="En-ttedetabledesmatires">
    <w:name w:val="TOC Heading"/>
    <w:basedOn w:val="Titre1"/>
    <w:next w:val="Normal"/>
    <w:uiPriority w:val="99"/>
    <w:semiHidden/>
    <w:qFormat/>
    <w:rsid w:val="004C1AE4"/>
    <w:pPr>
      <w:outlineLvl w:val="9"/>
    </w:pPr>
    <w:rPr>
      <w:color w:val="474747" w:themeColor="accent3" w:themeShade="BF"/>
      <w:lang w:val="fr-FR" w:eastAsia="fr-FR"/>
    </w:rPr>
  </w:style>
  <w:style w:type="paragraph" w:customStyle="1" w:styleId="ECHRTitleCentre3">
    <w:name w:val="ECHR_Title_Centre_3"/>
    <w:aliases w:val="Ju_H_Article"/>
    <w:basedOn w:val="Normal"/>
    <w:next w:val="ECHRParaQuote"/>
    <w:uiPriority w:val="27"/>
    <w:qFormat/>
    <w:rsid w:val="004C1AE4"/>
    <w:pPr>
      <w:keepNext/>
      <w:keepLines/>
      <w:spacing w:before="240" w:after="120"/>
      <w:jc w:val="center"/>
      <w:outlineLvl w:val="3"/>
    </w:pPr>
    <w:rPr>
      <w:rFonts w:asciiTheme="majorHAnsi" w:hAnsiTheme="majorHAnsi"/>
      <w:b/>
      <w:sz w:val="20"/>
      <w:lang w:val="fr-FR" w:eastAsia="fr-FR" w:bidi="en-US"/>
    </w:rPr>
  </w:style>
  <w:style w:type="paragraph" w:customStyle="1" w:styleId="ECHRTitleCentre2">
    <w:name w:val="ECHR_Title_Centre_2"/>
    <w:aliases w:val="Dec_H_Case"/>
    <w:basedOn w:val="Normal"/>
    <w:next w:val="ECHRPara"/>
    <w:uiPriority w:val="8"/>
    <w:rsid w:val="004C1AE4"/>
    <w:pPr>
      <w:spacing w:after="240"/>
      <w:jc w:val="center"/>
      <w:outlineLvl w:val="0"/>
    </w:pPr>
    <w:rPr>
      <w:rFonts w:asciiTheme="majorHAnsi" w:hAnsiTheme="majorHAnsi"/>
    </w:rPr>
  </w:style>
  <w:style w:type="paragraph" w:customStyle="1" w:styleId="OpiHA">
    <w:name w:val="Opi_H_A"/>
    <w:basedOn w:val="ECHRHeading1"/>
    <w:next w:val="OpiPara"/>
    <w:uiPriority w:val="41"/>
    <w:qFormat/>
    <w:rsid w:val="004C1AE4"/>
    <w:pPr>
      <w:tabs>
        <w:tab w:val="clear" w:pos="357"/>
      </w:tabs>
      <w:outlineLvl w:val="1"/>
    </w:pPr>
    <w:rPr>
      <w:b/>
    </w:rPr>
  </w:style>
  <w:style w:type="paragraph" w:customStyle="1" w:styleId="ECHRTitleCentre1">
    <w:name w:val="ECHR_Title_Centre_1"/>
    <w:aliases w:val="Opi_H_Head"/>
    <w:basedOn w:val="Normal"/>
    <w:next w:val="OpiPara"/>
    <w:uiPriority w:val="39"/>
    <w:qFormat/>
    <w:rsid w:val="004C1AE4"/>
    <w:pPr>
      <w:keepNext/>
      <w:keepLines/>
      <w:spacing w:after="240"/>
      <w:jc w:val="center"/>
      <w:outlineLvl w:val="0"/>
    </w:pPr>
    <w:rPr>
      <w:rFonts w:asciiTheme="majorHAnsi" w:hAnsiTheme="majorHAnsi"/>
      <w:sz w:val="28"/>
      <w:lang w:val="fr-FR" w:eastAsia="fr-FR"/>
    </w:rPr>
  </w:style>
  <w:style w:type="character" w:customStyle="1" w:styleId="JUNAMES">
    <w:name w:val="JU_NAMES"/>
    <w:uiPriority w:val="17"/>
    <w:qFormat/>
    <w:rsid w:val="004C1AE4"/>
    <w:rPr>
      <w:caps w:val="0"/>
      <w:smallCaps/>
    </w:rPr>
  </w:style>
  <w:style w:type="character" w:customStyle="1" w:styleId="JuITMark">
    <w:name w:val="Ju_ITMark"/>
    <w:basedOn w:val="Policepardfaut"/>
    <w:uiPriority w:val="38"/>
    <w:qFormat/>
    <w:rsid w:val="004C1AE4"/>
    <w:rPr>
      <w:vanish w:val="0"/>
      <w:color w:val="auto"/>
      <w:sz w:val="14"/>
    </w:rPr>
  </w:style>
  <w:style w:type="paragraph" w:customStyle="1" w:styleId="OpiTranslation">
    <w:name w:val="Opi_Translation"/>
    <w:basedOn w:val="Normal"/>
    <w:next w:val="OpiPara"/>
    <w:uiPriority w:val="40"/>
    <w:qFormat/>
    <w:rsid w:val="004C1AE4"/>
    <w:pPr>
      <w:jc w:val="center"/>
      <w:outlineLvl w:val="0"/>
    </w:pPr>
    <w:rPr>
      <w:i/>
      <w:lang w:val="fr-FR" w:eastAsia="fr-FR"/>
    </w:rPr>
  </w:style>
  <w:style w:type="paragraph" w:customStyle="1" w:styleId="DecHTitle">
    <w:name w:val="Dec_H_Title"/>
    <w:basedOn w:val="ECHRTitleCentre1"/>
    <w:uiPriority w:val="7"/>
    <w:rsid w:val="004C1AE4"/>
  </w:style>
  <w:style w:type="paragraph" w:customStyle="1" w:styleId="JuCourt">
    <w:name w:val="Ju_Court"/>
    <w:basedOn w:val="Normal"/>
    <w:next w:val="Normal"/>
    <w:uiPriority w:val="16"/>
    <w:qFormat/>
    <w:rsid w:val="004C1AE4"/>
    <w:pPr>
      <w:tabs>
        <w:tab w:val="left" w:pos="907"/>
        <w:tab w:val="left" w:pos="1701"/>
        <w:tab w:val="right" w:pos="7371"/>
      </w:tabs>
      <w:spacing w:before="240"/>
      <w:ind w:left="397" w:hanging="397"/>
      <w:jc w:val="left"/>
    </w:pPr>
    <w:rPr>
      <w:lang w:val="fr-FR" w:eastAsia="fr-FR" w:bidi="en-US"/>
    </w:rPr>
  </w:style>
  <w:style w:type="paragraph" w:customStyle="1" w:styleId="DecList">
    <w:name w:val="Dec_List"/>
    <w:basedOn w:val="Normal"/>
    <w:uiPriority w:val="9"/>
    <w:rsid w:val="004C1AE4"/>
    <w:pPr>
      <w:spacing w:before="240"/>
      <w:ind w:left="284"/>
    </w:pPr>
  </w:style>
  <w:style w:type="paragraph" w:styleId="Titredetablederfrences">
    <w:name w:val="toa heading"/>
    <w:basedOn w:val="Normal"/>
    <w:next w:val="Normal"/>
    <w:uiPriority w:val="99"/>
    <w:semiHidden/>
    <w:rsid w:val="004C1AE4"/>
    <w:pPr>
      <w:spacing w:before="120"/>
    </w:pPr>
    <w:rPr>
      <w:rFonts w:asciiTheme="majorHAnsi" w:eastAsiaTheme="majorEastAsia" w:hAnsiTheme="majorHAnsi" w:cstheme="majorBidi"/>
      <w:b/>
      <w:bCs/>
      <w:color w:val="474747" w:themeColor="accent3" w:themeShade="BF"/>
      <w:szCs w:val="24"/>
    </w:rPr>
  </w:style>
  <w:style w:type="paragraph" w:customStyle="1" w:styleId="ECHRHeading3">
    <w:name w:val="ECHR_Heading_3"/>
    <w:aliases w:val="Ju_H_1."/>
    <w:basedOn w:val="Titre3"/>
    <w:next w:val="ECHRPara"/>
    <w:link w:val="JuH1Char"/>
    <w:uiPriority w:val="21"/>
    <w:qFormat/>
    <w:rsid w:val="004C1AE4"/>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Titre4"/>
    <w:next w:val="ECHRPara"/>
    <w:link w:val="JuHaChar"/>
    <w:uiPriority w:val="22"/>
    <w:qFormat/>
    <w:rsid w:val="004C1AE4"/>
    <w:pPr>
      <w:keepNext/>
      <w:keepLines/>
      <w:tabs>
        <w:tab w:val="left" w:pos="975"/>
      </w:tabs>
      <w:spacing w:before="240" w:after="120"/>
      <w:ind w:left="975" w:hanging="340"/>
    </w:pPr>
    <w:rPr>
      <w:i w:val="0"/>
      <w:color w:val="auto"/>
      <w:sz w:val="20"/>
      <w:lang w:val="fr-FR" w:eastAsia="fr-FR"/>
    </w:rPr>
  </w:style>
  <w:style w:type="paragraph" w:customStyle="1" w:styleId="ECHRHeading5">
    <w:name w:val="ECHR_Heading_5"/>
    <w:aliases w:val="Ju_H_i"/>
    <w:basedOn w:val="Titre5"/>
    <w:next w:val="ECHRPara"/>
    <w:uiPriority w:val="23"/>
    <w:qFormat/>
    <w:rsid w:val="004C1AE4"/>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re6"/>
    <w:next w:val="ECHRPara"/>
    <w:uiPriority w:val="24"/>
    <w:qFormat/>
    <w:rsid w:val="004C1AE4"/>
    <w:pPr>
      <w:keepNext/>
      <w:keepLines/>
      <w:tabs>
        <w:tab w:val="left" w:pos="1372"/>
      </w:tabs>
      <w:spacing w:before="240" w:after="120" w:line="240" w:lineRule="auto"/>
      <w:ind w:left="1373" w:hanging="335"/>
    </w:pPr>
    <w:rPr>
      <w:b w:val="0"/>
      <w:color w:val="auto"/>
      <w:sz w:val="20"/>
      <w:lang w:val="fr-FR" w:eastAsia="fr-FR"/>
    </w:rPr>
  </w:style>
  <w:style w:type="paragraph" w:customStyle="1" w:styleId="ECHRHeading7">
    <w:name w:val="ECHR_Heading_7"/>
    <w:aliases w:val="Ju_H_–"/>
    <w:basedOn w:val="Titre7"/>
    <w:next w:val="ECHRPara"/>
    <w:uiPriority w:val="25"/>
    <w:qFormat/>
    <w:rsid w:val="004C1AE4"/>
    <w:pPr>
      <w:keepNext/>
      <w:keepLines/>
      <w:spacing w:before="240" w:after="120"/>
      <w:ind w:left="1236"/>
    </w:pPr>
    <w:rPr>
      <w:sz w:val="20"/>
    </w:rPr>
  </w:style>
  <w:style w:type="paragraph" w:customStyle="1" w:styleId="OpiH1">
    <w:name w:val="Opi_H_1"/>
    <w:basedOn w:val="ECHRHeading2"/>
    <w:uiPriority w:val="42"/>
    <w:qFormat/>
    <w:rsid w:val="004C1AE4"/>
    <w:pPr>
      <w:ind w:left="635" w:hanging="357"/>
      <w:outlineLvl w:val="2"/>
    </w:pPr>
  </w:style>
  <w:style w:type="paragraph" w:customStyle="1" w:styleId="OpiHa0">
    <w:name w:val="Opi_H_a"/>
    <w:basedOn w:val="ECHRHeading3"/>
    <w:uiPriority w:val="43"/>
    <w:qFormat/>
    <w:rsid w:val="004C1AE4"/>
    <w:pPr>
      <w:ind w:left="833" w:hanging="357"/>
      <w:outlineLvl w:val="3"/>
    </w:pPr>
    <w:rPr>
      <w:b/>
      <w:i w:val="0"/>
      <w:sz w:val="20"/>
    </w:rPr>
  </w:style>
  <w:style w:type="paragraph" w:customStyle="1" w:styleId="OpiHi">
    <w:name w:val="Opi_H_i"/>
    <w:basedOn w:val="ECHRHeading4"/>
    <w:uiPriority w:val="44"/>
    <w:qFormat/>
    <w:rsid w:val="004C1AE4"/>
    <w:pPr>
      <w:ind w:left="1037" w:hanging="357"/>
      <w:outlineLvl w:val="4"/>
    </w:pPr>
    <w:rPr>
      <w:b w:val="0"/>
      <w:i/>
    </w:rPr>
  </w:style>
  <w:style w:type="table" w:customStyle="1" w:styleId="ECHRListTable">
    <w:name w:val="ECHR_List_Table"/>
    <w:basedOn w:val="TableauNormal"/>
    <w:uiPriority w:val="99"/>
    <w:rsid w:val="004C1AE4"/>
    <w:rPr>
      <w:lang w:val="en-US" w:eastAsia="en-US"/>
    </w:rPr>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Aucuneliste"/>
    <w:uiPriority w:val="99"/>
    <w:semiHidden/>
    <w:rsid w:val="000C4043"/>
    <w:pPr>
      <w:numPr>
        <w:numId w:val="3"/>
      </w:numPr>
    </w:pPr>
  </w:style>
  <w:style w:type="numbering" w:styleId="1ai">
    <w:name w:val="Outline List 1"/>
    <w:basedOn w:val="Aucuneliste"/>
    <w:uiPriority w:val="99"/>
    <w:semiHidden/>
    <w:rsid w:val="000C4043"/>
    <w:pPr>
      <w:numPr>
        <w:numId w:val="4"/>
      </w:numPr>
    </w:pPr>
  </w:style>
  <w:style w:type="numbering" w:styleId="ArticleSection">
    <w:name w:val="Outline List 3"/>
    <w:basedOn w:val="Aucuneliste"/>
    <w:uiPriority w:val="99"/>
    <w:semiHidden/>
    <w:rsid w:val="000C4043"/>
    <w:pPr>
      <w:numPr>
        <w:numId w:val="5"/>
      </w:numPr>
    </w:pPr>
  </w:style>
  <w:style w:type="paragraph" w:styleId="Bibliographie">
    <w:name w:val="Bibliography"/>
    <w:basedOn w:val="Normal"/>
    <w:next w:val="Normal"/>
    <w:uiPriority w:val="99"/>
    <w:semiHidden/>
    <w:unhideWhenUsed/>
    <w:rsid w:val="000C4043"/>
  </w:style>
  <w:style w:type="paragraph" w:styleId="Normalcentr">
    <w:name w:val="Block Text"/>
    <w:basedOn w:val="Normal"/>
    <w:uiPriority w:val="99"/>
    <w:semiHidden/>
    <w:rsid w:val="000C404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sdetexte">
    <w:name w:val="Body Text"/>
    <w:basedOn w:val="Normal"/>
    <w:link w:val="CorpsdetexteCar"/>
    <w:uiPriority w:val="99"/>
    <w:semiHidden/>
    <w:rsid w:val="000C4043"/>
    <w:pPr>
      <w:spacing w:after="120"/>
    </w:pPr>
  </w:style>
  <w:style w:type="character" w:customStyle="1" w:styleId="CorpsdetexteCar">
    <w:name w:val="Corps de texte Car"/>
    <w:basedOn w:val="Policepardfaut"/>
    <w:link w:val="Corpsdetexte"/>
    <w:rsid w:val="000C4043"/>
    <w:rPr>
      <w:rFonts w:eastAsiaTheme="minorEastAsia"/>
      <w:sz w:val="24"/>
      <w:lang w:val="en-US" w:eastAsia="en-US"/>
    </w:rPr>
  </w:style>
  <w:style w:type="paragraph" w:styleId="Corpsdetexte2">
    <w:name w:val="Body Text 2"/>
    <w:basedOn w:val="Normal"/>
    <w:link w:val="Corpsdetexte2Car"/>
    <w:uiPriority w:val="99"/>
    <w:semiHidden/>
    <w:rsid w:val="000C4043"/>
    <w:pPr>
      <w:spacing w:after="120" w:line="480" w:lineRule="auto"/>
    </w:pPr>
  </w:style>
  <w:style w:type="character" w:customStyle="1" w:styleId="Corpsdetexte2Car">
    <w:name w:val="Corps de texte 2 Car"/>
    <w:basedOn w:val="Policepardfaut"/>
    <w:link w:val="Corpsdetexte2"/>
    <w:rsid w:val="000C4043"/>
    <w:rPr>
      <w:rFonts w:eastAsiaTheme="minorEastAsia"/>
      <w:sz w:val="24"/>
      <w:lang w:val="en-US" w:eastAsia="en-US"/>
    </w:rPr>
  </w:style>
  <w:style w:type="paragraph" w:styleId="Corpsdetexte3">
    <w:name w:val="Body Text 3"/>
    <w:basedOn w:val="Normal"/>
    <w:link w:val="Corpsdetexte3Car"/>
    <w:uiPriority w:val="99"/>
    <w:semiHidden/>
    <w:rsid w:val="000C4043"/>
    <w:pPr>
      <w:spacing w:after="120"/>
    </w:pPr>
    <w:rPr>
      <w:sz w:val="16"/>
      <w:szCs w:val="16"/>
    </w:rPr>
  </w:style>
  <w:style w:type="character" w:customStyle="1" w:styleId="Corpsdetexte3Car">
    <w:name w:val="Corps de texte 3 Car"/>
    <w:basedOn w:val="Policepardfaut"/>
    <w:link w:val="Corpsdetexte3"/>
    <w:rsid w:val="000C4043"/>
    <w:rPr>
      <w:rFonts w:eastAsiaTheme="minorEastAsia"/>
      <w:sz w:val="16"/>
      <w:szCs w:val="16"/>
      <w:lang w:val="en-US" w:eastAsia="en-US"/>
    </w:rPr>
  </w:style>
  <w:style w:type="paragraph" w:styleId="Retrait1religne">
    <w:name w:val="Body Text First Indent"/>
    <w:basedOn w:val="Corpsdetexte"/>
    <w:link w:val="Retrait1religneCar"/>
    <w:uiPriority w:val="99"/>
    <w:semiHidden/>
    <w:rsid w:val="000C4043"/>
    <w:pPr>
      <w:spacing w:after="0"/>
      <w:ind w:firstLine="360"/>
    </w:pPr>
  </w:style>
  <w:style w:type="character" w:customStyle="1" w:styleId="Retrait1religneCar">
    <w:name w:val="Retrait 1ère ligne Car"/>
    <w:basedOn w:val="CorpsdetexteCar"/>
    <w:link w:val="Retrait1religne"/>
    <w:rsid w:val="000C4043"/>
    <w:rPr>
      <w:rFonts w:eastAsiaTheme="minorEastAsia"/>
      <w:sz w:val="24"/>
      <w:lang w:val="en-US" w:eastAsia="en-US"/>
    </w:rPr>
  </w:style>
  <w:style w:type="paragraph" w:styleId="Retraitcorpsdetexte">
    <w:name w:val="Body Text Indent"/>
    <w:basedOn w:val="Normal"/>
    <w:link w:val="RetraitcorpsdetexteCar"/>
    <w:uiPriority w:val="99"/>
    <w:semiHidden/>
    <w:rsid w:val="000C4043"/>
    <w:pPr>
      <w:spacing w:after="120"/>
      <w:ind w:left="283"/>
    </w:pPr>
  </w:style>
  <w:style w:type="character" w:customStyle="1" w:styleId="RetraitcorpsdetexteCar">
    <w:name w:val="Retrait corps de texte Car"/>
    <w:basedOn w:val="Policepardfaut"/>
    <w:link w:val="Retraitcorpsdetexte"/>
    <w:rsid w:val="000C4043"/>
    <w:rPr>
      <w:rFonts w:eastAsiaTheme="minorEastAsia"/>
      <w:sz w:val="24"/>
      <w:lang w:val="en-US" w:eastAsia="en-US"/>
    </w:rPr>
  </w:style>
  <w:style w:type="paragraph" w:styleId="Retraitcorpset1relig">
    <w:name w:val="Body Text First Indent 2"/>
    <w:basedOn w:val="Retraitcorpsdetexte"/>
    <w:link w:val="Retraitcorpset1religCar"/>
    <w:uiPriority w:val="99"/>
    <w:semiHidden/>
    <w:rsid w:val="000C4043"/>
    <w:pPr>
      <w:spacing w:after="0"/>
      <w:ind w:left="360" w:firstLine="360"/>
    </w:pPr>
  </w:style>
  <w:style w:type="character" w:customStyle="1" w:styleId="Retraitcorpset1religCar">
    <w:name w:val="Retrait corps et 1ère lig. Car"/>
    <w:basedOn w:val="RetraitcorpsdetexteCar"/>
    <w:link w:val="Retraitcorpset1relig"/>
    <w:rsid w:val="000C4043"/>
    <w:rPr>
      <w:rFonts w:eastAsiaTheme="minorEastAsia"/>
      <w:sz w:val="24"/>
      <w:lang w:val="en-US" w:eastAsia="en-US"/>
    </w:rPr>
  </w:style>
  <w:style w:type="paragraph" w:styleId="Retraitcorpsdetexte2">
    <w:name w:val="Body Text Indent 2"/>
    <w:basedOn w:val="Normal"/>
    <w:link w:val="Retraitcorpsdetexte2Car"/>
    <w:uiPriority w:val="99"/>
    <w:semiHidden/>
    <w:rsid w:val="000C4043"/>
    <w:pPr>
      <w:spacing w:after="120" w:line="480" w:lineRule="auto"/>
      <w:ind w:left="283"/>
    </w:pPr>
  </w:style>
  <w:style w:type="character" w:customStyle="1" w:styleId="Retraitcorpsdetexte2Car">
    <w:name w:val="Retrait corps de texte 2 Car"/>
    <w:basedOn w:val="Policepardfaut"/>
    <w:link w:val="Retraitcorpsdetexte2"/>
    <w:rsid w:val="000C4043"/>
    <w:rPr>
      <w:rFonts w:eastAsiaTheme="minorEastAsia"/>
      <w:sz w:val="24"/>
      <w:lang w:val="en-US" w:eastAsia="en-US"/>
    </w:rPr>
  </w:style>
  <w:style w:type="paragraph" w:styleId="Retraitcorpsdetexte3">
    <w:name w:val="Body Text Indent 3"/>
    <w:basedOn w:val="Normal"/>
    <w:link w:val="Retraitcorpsdetexte3Car"/>
    <w:uiPriority w:val="99"/>
    <w:semiHidden/>
    <w:rsid w:val="000C4043"/>
    <w:pPr>
      <w:spacing w:after="120"/>
      <w:ind w:left="283"/>
    </w:pPr>
    <w:rPr>
      <w:sz w:val="16"/>
      <w:szCs w:val="16"/>
    </w:rPr>
  </w:style>
  <w:style w:type="character" w:customStyle="1" w:styleId="Retraitcorpsdetexte3Car">
    <w:name w:val="Retrait corps de texte 3 Car"/>
    <w:basedOn w:val="Policepardfaut"/>
    <w:link w:val="Retraitcorpsdetexte3"/>
    <w:rsid w:val="000C4043"/>
    <w:rPr>
      <w:rFonts w:eastAsiaTheme="minorEastAsia"/>
      <w:sz w:val="16"/>
      <w:szCs w:val="16"/>
      <w:lang w:val="en-US" w:eastAsia="en-US"/>
    </w:rPr>
  </w:style>
  <w:style w:type="paragraph" w:styleId="Lgende">
    <w:name w:val="caption"/>
    <w:basedOn w:val="Normal"/>
    <w:next w:val="Normal"/>
    <w:uiPriority w:val="99"/>
    <w:semiHidden/>
    <w:qFormat/>
    <w:rsid w:val="000C4043"/>
    <w:pPr>
      <w:spacing w:after="200"/>
    </w:pPr>
    <w:rPr>
      <w:b/>
      <w:bCs/>
      <w:color w:val="0072BC" w:themeColor="accent1"/>
      <w:sz w:val="18"/>
      <w:szCs w:val="18"/>
      <w:lang w:val="fr-FR" w:eastAsia="fr-FR"/>
    </w:rPr>
  </w:style>
  <w:style w:type="paragraph" w:styleId="Formulepolitesse">
    <w:name w:val="Closing"/>
    <w:basedOn w:val="Normal"/>
    <w:link w:val="FormulepolitesseCar"/>
    <w:uiPriority w:val="99"/>
    <w:semiHidden/>
    <w:rsid w:val="000C4043"/>
    <w:pPr>
      <w:ind w:left="4252"/>
    </w:pPr>
  </w:style>
  <w:style w:type="character" w:customStyle="1" w:styleId="FormulepolitesseCar">
    <w:name w:val="Formule politesse Car"/>
    <w:basedOn w:val="Policepardfaut"/>
    <w:link w:val="Formulepolitesse"/>
    <w:rsid w:val="000C4043"/>
    <w:rPr>
      <w:rFonts w:eastAsiaTheme="minorEastAsia"/>
      <w:sz w:val="24"/>
      <w:lang w:val="en-US" w:eastAsia="en-US"/>
    </w:rPr>
  </w:style>
  <w:style w:type="table" w:styleId="Grillecouleur">
    <w:name w:val="Colorful Grid"/>
    <w:basedOn w:val="TableauNormal"/>
    <w:uiPriority w:val="99"/>
    <w:semiHidden/>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99"/>
    <w:semiHidden/>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llecouleur-Accent2">
    <w:name w:val="Colorful Grid Accent 2"/>
    <w:basedOn w:val="TableauNormal"/>
    <w:uiPriority w:val="99"/>
    <w:semiHidden/>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llecouleur-Accent3">
    <w:name w:val="Colorful Grid Accent 3"/>
    <w:basedOn w:val="TableauNormal"/>
    <w:uiPriority w:val="99"/>
    <w:semiHidden/>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llecouleur-Accent4">
    <w:name w:val="Colorful Grid Accent 4"/>
    <w:basedOn w:val="TableauNormal"/>
    <w:uiPriority w:val="99"/>
    <w:semiHidden/>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llecouleur-Accent5">
    <w:name w:val="Colorful Grid Accent 5"/>
    <w:basedOn w:val="TableauNormal"/>
    <w:uiPriority w:val="99"/>
    <w:semiHidden/>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llecouleur-Accent6">
    <w:name w:val="Colorful Grid Accent 6"/>
    <w:basedOn w:val="TableauNormal"/>
    <w:uiPriority w:val="99"/>
    <w:semiHidden/>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Listecouleur">
    <w:name w:val="Colorful List"/>
    <w:basedOn w:val="TableauNormal"/>
    <w:uiPriority w:val="99"/>
    <w:semiHidden/>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99"/>
    <w:semiHidden/>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Listecouleur-Accent2">
    <w:name w:val="Colorful List Accent 2"/>
    <w:basedOn w:val="TableauNormal"/>
    <w:uiPriority w:val="99"/>
    <w:semiHidden/>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Listecouleur-Accent3">
    <w:name w:val="Colorful List Accent 3"/>
    <w:basedOn w:val="TableauNormal"/>
    <w:uiPriority w:val="99"/>
    <w:semiHidden/>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Listecouleur-Accent4">
    <w:name w:val="Colorful List Accent 4"/>
    <w:basedOn w:val="TableauNormal"/>
    <w:uiPriority w:val="99"/>
    <w:semiHidden/>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Listecouleur-Accent5">
    <w:name w:val="Colorful List Accent 5"/>
    <w:basedOn w:val="TableauNormal"/>
    <w:uiPriority w:val="99"/>
    <w:semiHidden/>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Listecouleur-Accent6">
    <w:name w:val="Colorful List Accent 6"/>
    <w:basedOn w:val="TableauNormal"/>
    <w:uiPriority w:val="99"/>
    <w:semiHidden/>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Tramecouleur">
    <w:name w:val="Colorful Shading"/>
    <w:basedOn w:val="TableauNormal"/>
    <w:uiPriority w:val="99"/>
    <w:semiHidden/>
    <w:rsid w:val="000C4043"/>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99"/>
    <w:semiHidden/>
    <w:rsid w:val="000C4043"/>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99"/>
    <w:semiHidden/>
    <w:rsid w:val="000C4043"/>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99"/>
    <w:semiHidden/>
    <w:rsid w:val="000C4043"/>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Tramecouleur-Accent4">
    <w:name w:val="Colorful Shading Accent 4"/>
    <w:basedOn w:val="TableauNormal"/>
    <w:uiPriority w:val="99"/>
    <w:semiHidden/>
    <w:rsid w:val="000C4043"/>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99"/>
    <w:semiHidden/>
    <w:rsid w:val="000C4043"/>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99"/>
    <w:semiHidden/>
    <w:rsid w:val="000C4043"/>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Listefonce">
    <w:name w:val="Dark List"/>
    <w:basedOn w:val="TableauNormal"/>
    <w:uiPriority w:val="99"/>
    <w:semiHidden/>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99"/>
    <w:semiHidden/>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Listefonce-Accent2">
    <w:name w:val="Dark List Accent 2"/>
    <w:basedOn w:val="TableauNormal"/>
    <w:uiPriority w:val="99"/>
    <w:semiHidden/>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Listefonce-Accent3">
    <w:name w:val="Dark List Accent 3"/>
    <w:basedOn w:val="TableauNormal"/>
    <w:uiPriority w:val="99"/>
    <w:semiHidden/>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Listefonce-Accent4">
    <w:name w:val="Dark List Accent 4"/>
    <w:basedOn w:val="TableauNormal"/>
    <w:uiPriority w:val="99"/>
    <w:semiHidden/>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Listefonce-Accent5">
    <w:name w:val="Dark List Accent 5"/>
    <w:basedOn w:val="TableauNormal"/>
    <w:uiPriority w:val="99"/>
    <w:semiHidden/>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Listefonce-Accent6">
    <w:name w:val="Dark List Accent 6"/>
    <w:basedOn w:val="TableauNormal"/>
    <w:uiPriority w:val="99"/>
    <w:semiHidden/>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ar"/>
    <w:uiPriority w:val="99"/>
    <w:semiHidden/>
    <w:rsid w:val="000C4043"/>
  </w:style>
  <w:style w:type="character" w:customStyle="1" w:styleId="DateCar">
    <w:name w:val="Date Car"/>
    <w:basedOn w:val="Policepardfaut"/>
    <w:link w:val="Date"/>
    <w:rsid w:val="000C4043"/>
    <w:rPr>
      <w:rFonts w:eastAsiaTheme="minorEastAsia"/>
      <w:sz w:val="24"/>
      <w:lang w:val="en-US" w:eastAsia="en-US"/>
    </w:rPr>
  </w:style>
  <w:style w:type="paragraph" w:styleId="Signaturelectronique">
    <w:name w:val="E-mail Signature"/>
    <w:basedOn w:val="Normal"/>
    <w:link w:val="SignaturelectroniqueCar"/>
    <w:uiPriority w:val="99"/>
    <w:semiHidden/>
    <w:rsid w:val="000C4043"/>
  </w:style>
  <w:style w:type="character" w:customStyle="1" w:styleId="SignaturelectroniqueCar">
    <w:name w:val="Signature électronique Car"/>
    <w:basedOn w:val="Policepardfaut"/>
    <w:link w:val="Signaturelectronique"/>
    <w:rsid w:val="000C4043"/>
    <w:rPr>
      <w:rFonts w:eastAsiaTheme="minorEastAsia"/>
      <w:sz w:val="24"/>
      <w:lang w:val="en-US" w:eastAsia="en-US"/>
    </w:rPr>
  </w:style>
  <w:style w:type="paragraph" w:styleId="Adressedestinataire">
    <w:name w:val="envelope address"/>
    <w:basedOn w:val="Normal"/>
    <w:uiPriority w:val="99"/>
    <w:semiHidden/>
    <w:rsid w:val="000C404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Adresseexpditeur">
    <w:name w:val="envelope return"/>
    <w:basedOn w:val="Normal"/>
    <w:uiPriority w:val="99"/>
    <w:semiHidden/>
    <w:rsid w:val="000C4043"/>
    <w:rPr>
      <w:rFonts w:asciiTheme="majorHAnsi" w:eastAsiaTheme="majorEastAsia" w:hAnsiTheme="majorHAnsi" w:cstheme="majorBidi"/>
      <w:sz w:val="20"/>
      <w:szCs w:val="20"/>
    </w:rPr>
  </w:style>
  <w:style w:type="character" w:styleId="AcronymeHTML">
    <w:name w:val="HTML Acronym"/>
    <w:basedOn w:val="Policepardfaut"/>
    <w:uiPriority w:val="99"/>
    <w:semiHidden/>
    <w:rsid w:val="000C4043"/>
  </w:style>
  <w:style w:type="paragraph" w:styleId="AdresseHTML">
    <w:name w:val="HTML Address"/>
    <w:basedOn w:val="Normal"/>
    <w:link w:val="AdresseHTMLCar"/>
    <w:uiPriority w:val="99"/>
    <w:semiHidden/>
    <w:rsid w:val="000C4043"/>
    <w:rPr>
      <w:i/>
      <w:iCs/>
    </w:rPr>
  </w:style>
  <w:style w:type="character" w:customStyle="1" w:styleId="AdresseHTMLCar">
    <w:name w:val="Adresse HTML Car"/>
    <w:basedOn w:val="Policepardfaut"/>
    <w:link w:val="AdresseHTML"/>
    <w:rsid w:val="000C4043"/>
    <w:rPr>
      <w:rFonts w:eastAsiaTheme="minorEastAsia"/>
      <w:i/>
      <w:iCs/>
      <w:sz w:val="24"/>
      <w:lang w:val="en-US" w:eastAsia="en-US"/>
    </w:rPr>
  </w:style>
  <w:style w:type="character" w:styleId="SiteHTML">
    <w:name w:val="HTML Cite"/>
    <w:basedOn w:val="Policepardfaut"/>
    <w:uiPriority w:val="99"/>
    <w:semiHidden/>
    <w:rsid w:val="000C4043"/>
    <w:rPr>
      <w:i/>
      <w:iCs/>
    </w:rPr>
  </w:style>
  <w:style w:type="character" w:styleId="CodeHTML">
    <w:name w:val="HTML Code"/>
    <w:basedOn w:val="Policepardfaut"/>
    <w:uiPriority w:val="99"/>
    <w:semiHidden/>
    <w:rsid w:val="000C4043"/>
    <w:rPr>
      <w:rFonts w:ascii="Consolas" w:hAnsi="Consolas" w:cs="Consolas"/>
      <w:sz w:val="20"/>
      <w:szCs w:val="20"/>
    </w:rPr>
  </w:style>
  <w:style w:type="character" w:styleId="DfinitionHTML">
    <w:name w:val="HTML Definition"/>
    <w:basedOn w:val="Policepardfaut"/>
    <w:uiPriority w:val="99"/>
    <w:semiHidden/>
    <w:rsid w:val="000C4043"/>
    <w:rPr>
      <w:i/>
      <w:iCs/>
    </w:rPr>
  </w:style>
  <w:style w:type="character" w:styleId="ClavierHTML">
    <w:name w:val="HTML Keyboard"/>
    <w:basedOn w:val="Policepardfaut"/>
    <w:uiPriority w:val="99"/>
    <w:semiHidden/>
    <w:rsid w:val="000C4043"/>
    <w:rPr>
      <w:rFonts w:ascii="Consolas" w:hAnsi="Consolas" w:cs="Consolas"/>
      <w:sz w:val="20"/>
      <w:szCs w:val="20"/>
    </w:rPr>
  </w:style>
  <w:style w:type="paragraph" w:styleId="HTMLprformat">
    <w:name w:val="HTML Preformatted"/>
    <w:basedOn w:val="Normal"/>
    <w:link w:val="HTMLprformatCar"/>
    <w:uiPriority w:val="99"/>
    <w:semiHidden/>
    <w:rsid w:val="000C4043"/>
    <w:rPr>
      <w:rFonts w:ascii="Consolas" w:hAnsi="Consolas" w:cs="Consolas"/>
      <w:sz w:val="20"/>
      <w:szCs w:val="20"/>
    </w:rPr>
  </w:style>
  <w:style w:type="character" w:customStyle="1" w:styleId="HTMLprformatCar">
    <w:name w:val="HTML préformaté Car"/>
    <w:basedOn w:val="Policepardfaut"/>
    <w:link w:val="HTMLprformat"/>
    <w:rsid w:val="000C4043"/>
    <w:rPr>
      <w:rFonts w:ascii="Consolas" w:eastAsiaTheme="minorEastAsia" w:hAnsi="Consolas" w:cs="Consolas"/>
      <w:sz w:val="20"/>
      <w:szCs w:val="20"/>
      <w:lang w:val="en-US" w:eastAsia="en-US"/>
    </w:rPr>
  </w:style>
  <w:style w:type="character" w:styleId="ExempleHTML">
    <w:name w:val="HTML Sample"/>
    <w:basedOn w:val="Policepardfaut"/>
    <w:uiPriority w:val="99"/>
    <w:semiHidden/>
    <w:rsid w:val="000C4043"/>
    <w:rPr>
      <w:rFonts w:ascii="Consolas" w:hAnsi="Consolas" w:cs="Consolas"/>
      <w:sz w:val="24"/>
      <w:szCs w:val="24"/>
    </w:rPr>
  </w:style>
  <w:style w:type="character" w:styleId="MachinecrireHTML">
    <w:name w:val="HTML Typewriter"/>
    <w:basedOn w:val="Policepardfaut"/>
    <w:uiPriority w:val="99"/>
    <w:semiHidden/>
    <w:rsid w:val="000C4043"/>
    <w:rPr>
      <w:rFonts w:ascii="Consolas" w:hAnsi="Consolas" w:cs="Consolas"/>
      <w:sz w:val="20"/>
      <w:szCs w:val="20"/>
    </w:rPr>
  </w:style>
  <w:style w:type="character" w:styleId="VariableHTML">
    <w:name w:val="HTML Variable"/>
    <w:basedOn w:val="Policepardfaut"/>
    <w:uiPriority w:val="99"/>
    <w:semiHidden/>
    <w:rsid w:val="000C4043"/>
    <w:rPr>
      <w:i/>
      <w:iCs/>
    </w:rPr>
  </w:style>
  <w:style w:type="paragraph" w:styleId="Index1">
    <w:name w:val="index 1"/>
    <w:basedOn w:val="Normal"/>
    <w:next w:val="Normal"/>
    <w:autoRedefine/>
    <w:uiPriority w:val="99"/>
    <w:semiHidden/>
    <w:rsid w:val="000C4043"/>
    <w:pPr>
      <w:ind w:left="240" w:hanging="240"/>
    </w:pPr>
  </w:style>
  <w:style w:type="paragraph" w:styleId="Index2">
    <w:name w:val="index 2"/>
    <w:basedOn w:val="Normal"/>
    <w:next w:val="Normal"/>
    <w:autoRedefine/>
    <w:uiPriority w:val="99"/>
    <w:semiHidden/>
    <w:rsid w:val="000C4043"/>
    <w:pPr>
      <w:ind w:left="480" w:hanging="240"/>
    </w:pPr>
  </w:style>
  <w:style w:type="paragraph" w:styleId="Index3">
    <w:name w:val="index 3"/>
    <w:basedOn w:val="Normal"/>
    <w:next w:val="Normal"/>
    <w:autoRedefine/>
    <w:uiPriority w:val="99"/>
    <w:semiHidden/>
    <w:rsid w:val="000C4043"/>
    <w:pPr>
      <w:ind w:left="720" w:hanging="240"/>
    </w:pPr>
  </w:style>
  <w:style w:type="paragraph" w:styleId="Index4">
    <w:name w:val="index 4"/>
    <w:basedOn w:val="Normal"/>
    <w:next w:val="Normal"/>
    <w:autoRedefine/>
    <w:uiPriority w:val="99"/>
    <w:semiHidden/>
    <w:rsid w:val="000C4043"/>
    <w:pPr>
      <w:ind w:left="960" w:hanging="240"/>
    </w:pPr>
  </w:style>
  <w:style w:type="paragraph" w:styleId="Index5">
    <w:name w:val="index 5"/>
    <w:basedOn w:val="Normal"/>
    <w:next w:val="Normal"/>
    <w:autoRedefine/>
    <w:uiPriority w:val="99"/>
    <w:semiHidden/>
    <w:rsid w:val="000C4043"/>
    <w:pPr>
      <w:ind w:left="1200" w:hanging="240"/>
    </w:pPr>
  </w:style>
  <w:style w:type="paragraph" w:styleId="Index6">
    <w:name w:val="index 6"/>
    <w:basedOn w:val="Normal"/>
    <w:next w:val="Normal"/>
    <w:autoRedefine/>
    <w:uiPriority w:val="99"/>
    <w:semiHidden/>
    <w:rsid w:val="000C4043"/>
    <w:pPr>
      <w:ind w:left="1440" w:hanging="240"/>
    </w:pPr>
  </w:style>
  <w:style w:type="paragraph" w:styleId="Index7">
    <w:name w:val="index 7"/>
    <w:basedOn w:val="Normal"/>
    <w:next w:val="Normal"/>
    <w:autoRedefine/>
    <w:uiPriority w:val="99"/>
    <w:semiHidden/>
    <w:rsid w:val="000C4043"/>
    <w:pPr>
      <w:ind w:left="1680" w:hanging="240"/>
    </w:pPr>
  </w:style>
  <w:style w:type="paragraph" w:styleId="Index8">
    <w:name w:val="index 8"/>
    <w:basedOn w:val="Normal"/>
    <w:next w:val="Normal"/>
    <w:autoRedefine/>
    <w:uiPriority w:val="99"/>
    <w:semiHidden/>
    <w:rsid w:val="000C4043"/>
    <w:pPr>
      <w:ind w:left="1920" w:hanging="240"/>
    </w:pPr>
  </w:style>
  <w:style w:type="paragraph" w:styleId="Index9">
    <w:name w:val="index 9"/>
    <w:basedOn w:val="Normal"/>
    <w:next w:val="Normal"/>
    <w:autoRedefine/>
    <w:uiPriority w:val="99"/>
    <w:semiHidden/>
    <w:rsid w:val="000C4043"/>
    <w:pPr>
      <w:ind w:left="2160" w:hanging="240"/>
    </w:pPr>
  </w:style>
  <w:style w:type="paragraph" w:styleId="Titreindex">
    <w:name w:val="index heading"/>
    <w:basedOn w:val="Normal"/>
    <w:next w:val="Index1"/>
    <w:uiPriority w:val="99"/>
    <w:semiHidden/>
    <w:rsid w:val="000C4043"/>
    <w:rPr>
      <w:rFonts w:asciiTheme="majorHAnsi" w:eastAsiaTheme="majorEastAsia" w:hAnsiTheme="majorHAnsi" w:cstheme="majorBidi"/>
      <w:b/>
      <w:bCs/>
    </w:rPr>
  </w:style>
  <w:style w:type="table" w:styleId="Grilleclaire">
    <w:name w:val="Light Grid"/>
    <w:basedOn w:val="TableauNormal"/>
    <w:uiPriority w:val="99"/>
    <w:semiHidden/>
    <w:rsid w:val="000C404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99"/>
    <w:semiHidden/>
    <w:rsid w:val="000C4043"/>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lleclaire-Accent2">
    <w:name w:val="Light Grid Accent 2"/>
    <w:basedOn w:val="TableauNormal"/>
    <w:uiPriority w:val="99"/>
    <w:semiHidden/>
    <w:rsid w:val="000C4043"/>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lleclaire-Accent3">
    <w:name w:val="Light Grid Accent 3"/>
    <w:basedOn w:val="TableauNormal"/>
    <w:uiPriority w:val="99"/>
    <w:semiHidden/>
    <w:rsid w:val="000C4043"/>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lleclaire-Accent4">
    <w:name w:val="Light Grid Accent 4"/>
    <w:basedOn w:val="TableauNormal"/>
    <w:uiPriority w:val="99"/>
    <w:semiHidden/>
    <w:rsid w:val="000C4043"/>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lleclaire-Accent5">
    <w:name w:val="Light Grid Accent 5"/>
    <w:basedOn w:val="TableauNormal"/>
    <w:uiPriority w:val="99"/>
    <w:semiHidden/>
    <w:rsid w:val="000C4043"/>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lleclaire-Accent6">
    <w:name w:val="Light Grid Accent 6"/>
    <w:basedOn w:val="TableauNormal"/>
    <w:uiPriority w:val="99"/>
    <w:semiHidden/>
    <w:rsid w:val="000C4043"/>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steclaire">
    <w:name w:val="Light List"/>
    <w:basedOn w:val="TableauNormal"/>
    <w:uiPriority w:val="99"/>
    <w:semiHidden/>
    <w:rsid w:val="000C404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99"/>
    <w:semiHidden/>
    <w:rsid w:val="000C4043"/>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steclaire-Accent2">
    <w:name w:val="Light List Accent 2"/>
    <w:basedOn w:val="TableauNormal"/>
    <w:uiPriority w:val="99"/>
    <w:semiHidden/>
    <w:rsid w:val="000C4043"/>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steclaire-Accent3">
    <w:name w:val="Light List Accent 3"/>
    <w:basedOn w:val="TableauNormal"/>
    <w:uiPriority w:val="99"/>
    <w:semiHidden/>
    <w:rsid w:val="000C4043"/>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steclaire-Accent4">
    <w:name w:val="Light List Accent 4"/>
    <w:basedOn w:val="TableauNormal"/>
    <w:uiPriority w:val="99"/>
    <w:semiHidden/>
    <w:rsid w:val="000C4043"/>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steclaire-Accent5">
    <w:name w:val="Light List Accent 5"/>
    <w:basedOn w:val="TableauNormal"/>
    <w:uiPriority w:val="99"/>
    <w:semiHidden/>
    <w:rsid w:val="000C4043"/>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steclaire-Accent6">
    <w:name w:val="Light List Accent 6"/>
    <w:basedOn w:val="TableauNormal"/>
    <w:uiPriority w:val="99"/>
    <w:semiHidden/>
    <w:rsid w:val="000C4043"/>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Ombrageclair">
    <w:name w:val="Light Shading"/>
    <w:basedOn w:val="TableauNormal"/>
    <w:uiPriority w:val="99"/>
    <w:semiHidden/>
    <w:rsid w:val="000C404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99"/>
    <w:semiHidden/>
    <w:rsid w:val="000C4043"/>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Trameclaire-Accent2">
    <w:name w:val="Light Shading Accent 2"/>
    <w:basedOn w:val="TableauNormal"/>
    <w:uiPriority w:val="99"/>
    <w:semiHidden/>
    <w:rsid w:val="000C4043"/>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Trameclaire-Accent3">
    <w:name w:val="Light Shading Accent 3"/>
    <w:basedOn w:val="TableauNormal"/>
    <w:uiPriority w:val="99"/>
    <w:semiHidden/>
    <w:rsid w:val="000C4043"/>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Trameclaire-Accent4">
    <w:name w:val="Light Shading Accent 4"/>
    <w:basedOn w:val="TableauNormal"/>
    <w:uiPriority w:val="99"/>
    <w:semiHidden/>
    <w:rsid w:val="000C4043"/>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Trameclaire-Accent5">
    <w:name w:val="Light Shading Accent 5"/>
    <w:basedOn w:val="TableauNormal"/>
    <w:uiPriority w:val="99"/>
    <w:semiHidden/>
    <w:rsid w:val="000C4043"/>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Trameclaire-Accent6">
    <w:name w:val="Light Shading Accent 6"/>
    <w:basedOn w:val="TableauNormal"/>
    <w:uiPriority w:val="99"/>
    <w:semiHidden/>
    <w:rsid w:val="000C4043"/>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rodeligne">
    <w:name w:val="line number"/>
    <w:basedOn w:val="Policepardfaut"/>
    <w:uiPriority w:val="99"/>
    <w:semiHidden/>
    <w:rsid w:val="000C4043"/>
  </w:style>
  <w:style w:type="paragraph" w:styleId="Liste">
    <w:name w:val="List"/>
    <w:basedOn w:val="Normal"/>
    <w:uiPriority w:val="99"/>
    <w:semiHidden/>
    <w:rsid w:val="000C4043"/>
    <w:pPr>
      <w:ind w:left="283" w:hanging="283"/>
      <w:contextualSpacing/>
    </w:pPr>
  </w:style>
  <w:style w:type="paragraph" w:styleId="Liste2">
    <w:name w:val="List 2"/>
    <w:basedOn w:val="Normal"/>
    <w:uiPriority w:val="99"/>
    <w:semiHidden/>
    <w:rsid w:val="000C4043"/>
    <w:pPr>
      <w:ind w:left="566" w:hanging="283"/>
      <w:contextualSpacing/>
    </w:pPr>
  </w:style>
  <w:style w:type="paragraph" w:styleId="Liste3">
    <w:name w:val="List 3"/>
    <w:basedOn w:val="Normal"/>
    <w:uiPriority w:val="99"/>
    <w:semiHidden/>
    <w:rsid w:val="000C4043"/>
    <w:pPr>
      <w:ind w:left="849" w:hanging="283"/>
      <w:contextualSpacing/>
    </w:pPr>
  </w:style>
  <w:style w:type="paragraph" w:styleId="Liste4">
    <w:name w:val="List 4"/>
    <w:basedOn w:val="Normal"/>
    <w:uiPriority w:val="99"/>
    <w:semiHidden/>
    <w:rsid w:val="000C4043"/>
    <w:pPr>
      <w:ind w:left="1132" w:hanging="283"/>
      <w:contextualSpacing/>
    </w:pPr>
  </w:style>
  <w:style w:type="paragraph" w:styleId="Liste5">
    <w:name w:val="List 5"/>
    <w:basedOn w:val="Normal"/>
    <w:uiPriority w:val="99"/>
    <w:semiHidden/>
    <w:rsid w:val="000C4043"/>
    <w:pPr>
      <w:ind w:left="1415" w:hanging="283"/>
      <w:contextualSpacing/>
    </w:pPr>
  </w:style>
  <w:style w:type="paragraph" w:styleId="Listepuces2">
    <w:name w:val="List Bullet 2"/>
    <w:basedOn w:val="Normal"/>
    <w:uiPriority w:val="99"/>
    <w:semiHidden/>
    <w:rsid w:val="000C4043"/>
    <w:pPr>
      <w:numPr>
        <w:numId w:val="6"/>
      </w:numPr>
      <w:contextualSpacing/>
    </w:pPr>
  </w:style>
  <w:style w:type="paragraph" w:styleId="Listepuces3">
    <w:name w:val="List Bullet 3"/>
    <w:basedOn w:val="Normal"/>
    <w:uiPriority w:val="99"/>
    <w:semiHidden/>
    <w:rsid w:val="000C4043"/>
    <w:pPr>
      <w:numPr>
        <w:numId w:val="7"/>
      </w:numPr>
      <w:contextualSpacing/>
    </w:pPr>
  </w:style>
  <w:style w:type="paragraph" w:styleId="Listepuces4">
    <w:name w:val="List Bullet 4"/>
    <w:basedOn w:val="Normal"/>
    <w:uiPriority w:val="99"/>
    <w:semiHidden/>
    <w:rsid w:val="000C4043"/>
    <w:pPr>
      <w:numPr>
        <w:numId w:val="8"/>
      </w:numPr>
      <w:contextualSpacing/>
    </w:pPr>
  </w:style>
  <w:style w:type="paragraph" w:styleId="Listepuces5">
    <w:name w:val="List Bullet 5"/>
    <w:basedOn w:val="Normal"/>
    <w:uiPriority w:val="99"/>
    <w:semiHidden/>
    <w:rsid w:val="000C4043"/>
    <w:pPr>
      <w:numPr>
        <w:numId w:val="9"/>
      </w:numPr>
      <w:contextualSpacing/>
    </w:pPr>
  </w:style>
  <w:style w:type="paragraph" w:styleId="Listecontinue">
    <w:name w:val="List Continue"/>
    <w:basedOn w:val="Normal"/>
    <w:uiPriority w:val="99"/>
    <w:semiHidden/>
    <w:rsid w:val="000C4043"/>
    <w:pPr>
      <w:spacing w:after="120"/>
      <w:ind w:left="283"/>
      <w:contextualSpacing/>
    </w:pPr>
  </w:style>
  <w:style w:type="paragraph" w:styleId="Listecontinue2">
    <w:name w:val="List Continue 2"/>
    <w:basedOn w:val="Normal"/>
    <w:uiPriority w:val="99"/>
    <w:semiHidden/>
    <w:rsid w:val="000C4043"/>
    <w:pPr>
      <w:spacing w:after="120"/>
      <w:ind w:left="566"/>
      <w:contextualSpacing/>
    </w:pPr>
  </w:style>
  <w:style w:type="paragraph" w:styleId="Listecontinue3">
    <w:name w:val="List Continue 3"/>
    <w:basedOn w:val="Normal"/>
    <w:uiPriority w:val="99"/>
    <w:semiHidden/>
    <w:rsid w:val="000C4043"/>
    <w:pPr>
      <w:spacing w:after="120"/>
      <w:ind w:left="849"/>
      <w:contextualSpacing/>
    </w:pPr>
  </w:style>
  <w:style w:type="paragraph" w:styleId="Listecontinue4">
    <w:name w:val="List Continue 4"/>
    <w:basedOn w:val="Normal"/>
    <w:uiPriority w:val="99"/>
    <w:semiHidden/>
    <w:rsid w:val="000C4043"/>
    <w:pPr>
      <w:spacing w:after="120"/>
      <w:ind w:left="1132"/>
      <w:contextualSpacing/>
    </w:pPr>
  </w:style>
  <w:style w:type="paragraph" w:styleId="Listecontinue5">
    <w:name w:val="List Continue 5"/>
    <w:basedOn w:val="Normal"/>
    <w:uiPriority w:val="99"/>
    <w:semiHidden/>
    <w:rsid w:val="000C4043"/>
    <w:pPr>
      <w:spacing w:after="120"/>
      <w:ind w:left="1415"/>
      <w:contextualSpacing/>
    </w:pPr>
  </w:style>
  <w:style w:type="paragraph" w:styleId="Listenumros">
    <w:name w:val="List Number"/>
    <w:basedOn w:val="Normal"/>
    <w:uiPriority w:val="99"/>
    <w:semiHidden/>
    <w:rsid w:val="000C4043"/>
    <w:pPr>
      <w:numPr>
        <w:numId w:val="10"/>
      </w:numPr>
      <w:contextualSpacing/>
    </w:pPr>
  </w:style>
  <w:style w:type="paragraph" w:styleId="Listenumros2">
    <w:name w:val="List Number 2"/>
    <w:basedOn w:val="Normal"/>
    <w:uiPriority w:val="99"/>
    <w:semiHidden/>
    <w:rsid w:val="000C4043"/>
    <w:pPr>
      <w:numPr>
        <w:numId w:val="11"/>
      </w:numPr>
      <w:contextualSpacing/>
    </w:pPr>
  </w:style>
  <w:style w:type="paragraph" w:styleId="Listenumros3">
    <w:name w:val="List Number 3"/>
    <w:basedOn w:val="Normal"/>
    <w:uiPriority w:val="99"/>
    <w:semiHidden/>
    <w:rsid w:val="000C4043"/>
    <w:pPr>
      <w:numPr>
        <w:numId w:val="12"/>
      </w:numPr>
      <w:contextualSpacing/>
    </w:pPr>
  </w:style>
  <w:style w:type="paragraph" w:styleId="Listenumros4">
    <w:name w:val="List Number 4"/>
    <w:basedOn w:val="Normal"/>
    <w:uiPriority w:val="99"/>
    <w:semiHidden/>
    <w:rsid w:val="000C4043"/>
    <w:pPr>
      <w:numPr>
        <w:numId w:val="13"/>
      </w:numPr>
      <w:contextualSpacing/>
    </w:pPr>
  </w:style>
  <w:style w:type="paragraph" w:styleId="Listenumros5">
    <w:name w:val="List Number 5"/>
    <w:basedOn w:val="Normal"/>
    <w:uiPriority w:val="99"/>
    <w:semiHidden/>
    <w:rsid w:val="000C4043"/>
    <w:pPr>
      <w:numPr>
        <w:numId w:val="14"/>
      </w:numPr>
      <w:contextualSpacing/>
    </w:pPr>
  </w:style>
  <w:style w:type="paragraph" w:styleId="Textedemacro">
    <w:name w:val="macro"/>
    <w:link w:val="TextedemacroCar"/>
    <w:uiPriority w:val="99"/>
    <w:semiHidden/>
    <w:rsid w:val="000C404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lang w:val="en-US" w:eastAsia="en-US"/>
    </w:rPr>
  </w:style>
  <w:style w:type="character" w:customStyle="1" w:styleId="TextedemacroCar">
    <w:name w:val="Texte de macro Car"/>
    <w:basedOn w:val="Policepardfaut"/>
    <w:link w:val="Textedemacro"/>
    <w:rsid w:val="000C4043"/>
    <w:rPr>
      <w:rFonts w:ascii="Consolas" w:eastAsiaTheme="minorEastAsia" w:hAnsi="Consolas" w:cs="Consolas"/>
      <w:sz w:val="20"/>
      <w:szCs w:val="20"/>
      <w:lang w:val="en-US" w:eastAsia="en-US"/>
    </w:rPr>
  </w:style>
  <w:style w:type="table" w:styleId="Grillemoyenne1">
    <w:name w:val="Medium Grid 1"/>
    <w:basedOn w:val="TableauNormal"/>
    <w:uiPriority w:val="99"/>
    <w:semiHidden/>
    <w:rsid w:val="000C404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99"/>
    <w:semiHidden/>
    <w:rsid w:val="000C4043"/>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llemoyenne1-Accent2">
    <w:name w:val="Medium Grid 1 Accent 2"/>
    <w:basedOn w:val="TableauNormal"/>
    <w:uiPriority w:val="99"/>
    <w:semiHidden/>
    <w:rsid w:val="000C4043"/>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llemoyenne1-Accent3">
    <w:name w:val="Medium Grid 1 Accent 3"/>
    <w:basedOn w:val="TableauNormal"/>
    <w:uiPriority w:val="99"/>
    <w:semiHidden/>
    <w:rsid w:val="000C4043"/>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llemoyenne1-Accent4">
    <w:name w:val="Medium Grid 1 Accent 4"/>
    <w:basedOn w:val="TableauNormal"/>
    <w:uiPriority w:val="99"/>
    <w:semiHidden/>
    <w:rsid w:val="000C4043"/>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llemoyenne1-Accent5">
    <w:name w:val="Medium Grid 1 Accent 5"/>
    <w:basedOn w:val="TableauNormal"/>
    <w:uiPriority w:val="99"/>
    <w:semiHidden/>
    <w:rsid w:val="000C4043"/>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llemoyenne1-Accent6">
    <w:name w:val="Medium Grid 1 Accent 6"/>
    <w:basedOn w:val="TableauNormal"/>
    <w:uiPriority w:val="99"/>
    <w:semiHidden/>
    <w:rsid w:val="000C4043"/>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llemoyenne2">
    <w:name w:val="Medium Grid 2"/>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llemoyenne2-Accent1">
    <w:name w:val="Medium Grid 2 Accent 1"/>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llemoyenne2-Accent2">
    <w:name w:val="Medium Grid 2 Accent 2"/>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llemoyenne2-Accent3">
    <w:name w:val="Medium Grid 2 Accent 3"/>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llemoyenne2-Accent4">
    <w:name w:val="Medium Grid 2 Accent 4"/>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llemoyenne2-Accent5">
    <w:name w:val="Medium Grid 2 Accent 5"/>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llemoyenne2-Accent6">
    <w:name w:val="Medium Grid 2 Accent 6"/>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llemoyenne3">
    <w:name w:val="Medium Grid 3"/>
    <w:basedOn w:val="TableauNormal"/>
    <w:uiPriority w:val="99"/>
    <w:semiHidden/>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llemoyenne3-Accent1">
    <w:name w:val="Medium Grid 3 Accent 1"/>
    <w:basedOn w:val="TableauNormal"/>
    <w:uiPriority w:val="99"/>
    <w:semiHidden/>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llemoyenne3-Accent2">
    <w:name w:val="Medium Grid 3 Accent 2"/>
    <w:basedOn w:val="TableauNormal"/>
    <w:uiPriority w:val="99"/>
    <w:semiHidden/>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llemoyenne3-Accent3">
    <w:name w:val="Medium Grid 3 Accent 3"/>
    <w:basedOn w:val="TableauNormal"/>
    <w:uiPriority w:val="99"/>
    <w:semiHidden/>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llemoyenne3-Accent4">
    <w:name w:val="Medium Grid 3 Accent 4"/>
    <w:basedOn w:val="TableauNormal"/>
    <w:uiPriority w:val="99"/>
    <w:semiHidden/>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llemoyenne3-Accent5">
    <w:name w:val="Medium Grid 3 Accent 5"/>
    <w:basedOn w:val="TableauNormal"/>
    <w:uiPriority w:val="99"/>
    <w:semiHidden/>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llemoyenne3-Accent6">
    <w:name w:val="Medium Grid 3 Accent 6"/>
    <w:basedOn w:val="TableauNormal"/>
    <w:uiPriority w:val="99"/>
    <w:semiHidden/>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Listemoyenne1">
    <w:name w:val="Medium List 1"/>
    <w:basedOn w:val="TableauNormal"/>
    <w:uiPriority w:val="99"/>
    <w:semiHidden/>
    <w:rsid w:val="000C404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99"/>
    <w:semiHidden/>
    <w:rsid w:val="000C4043"/>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Listemoyenne1-Accent2">
    <w:name w:val="Medium List 1 Accent 2"/>
    <w:basedOn w:val="TableauNormal"/>
    <w:uiPriority w:val="99"/>
    <w:semiHidden/>
    <w:rsid w:val="000C4043"/>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Listemoyenne1-Accent3">
    <w:name w:val="Medium List 1 Accent 3"/>
    <w:basedOn w:val="TableauNormal"/>
    <w:uiPriority w:val="99"/>
    <w:semiHidden/>
    <w:rsid w:val="000C4043"/>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Listemoyenne1-Accent4">
    <w:name w:val="Medium List 1 Accent 4"/>
    <w:basedOn w:val="TableauNormal"/>
    <w:uiPriority w:val="99"/>
    <w:semiHidden/>
    <w:rsid w:val="000C4043"/>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Listemoyenne1-Accent5">
    <w:name w:val="Medium List 1 Accent 5"/>
    <w:basedOn w:val="TableauNormal"/>
    <w:uiPriority w:val="99"/>
    <w:semiHidden/>
    <w:rsid w:val="000C4043"/>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Listemoyenne1-Accent6">
    <w:name w:val="Medium List 1 Accent 6"/>
    <w:basedOn w:val="TableauNormal"/>
    <w:uiPriority w:val="99"/>
    <w:semiHidden/>
    <w:rsid w:val="000C4043"/>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Listemoyenne2">
    <w:name w:val="Medium List 2"/>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1">
    <w:name w:val="Medium List 2 Accent 1"/>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2">
    <w:name w:val="Medium List 2 Accent 2"/>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3">
    <w:name w:val="Medium List 2 Accent 3"/>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4">
    <w:name w:val="Medium List 2 Accent 4"/>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5">
    <w:name w:val="Medium List 2 Accent 5"/>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6">
    <w:name w:val="Medium List 2 Accent 6"/>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Tramemoyenne1">
    <w:name w:val="Medium Shading 1"/>
    <w:basedOn w:val="TableauNormal"/>
    <w:uiPriority w:val="99"/>
    <w:semiHidden/>
    <w:rsid w:val="000C404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99"/>
    <w:semiHidden/>
    <w:rsid w:val="000C4043"/>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99"/>
    <w:semiHidden/>
    <w:rsid w:val="000C4043"/>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99"/>
    <w:semiHidden/>
    <w:rsid w:val="000C4043"/>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99"/>
    <w:semiHidden/>
    <w:rsid w:val="000C4043"/>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99"/>
    <w:semiHidden/>
    <w:rsid w:val="000C4043"/>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99"/>
    <w:semiHidden/>
    <w:rsid w:val="000C4043"/>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99"/>
    <w:semiHidden/>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99"/>
    <w:semiHidden/>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99"/>
    <w:semiHidden/>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99"/>
    <w:semiHidden/>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99"/>
    <w:semiHidden/>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99"/>
    <w:semiHidden/>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99"/>
    <w:semiHidden/>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rsid w:val="000C404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En-ttedemessageCar">
    <w:name w:val="En-tête de message Car"/>
    <w:basedOn w:val="Policepardfaut"/>
    <w:link w:val="En-ttedemessage"/>
    <w:rsid w:val="000C4043"/>
    <w:rPr>
      <w:rFonts w:asciiTheme="majorHAnsi" w:eastAsiaTheme="majorEastAsia" w:hAnsiTheme="majorHAnsi" w:cstheme="majorBidi"/>
      <w:sz w:val="24"/>
      <w:szCs w:val="24"/>
      <w:shd w:val="pct20" w:color="auto" w:fill="auto"/>
      <w:lang w:val="en-US" w:eastAsia="en-US"/>
    </w:rPr>
  </w:style>
  <w:style w:type="paragraph" w:styleId="NormalWeb">
    <w:name w:val="Normal (Web)"/>
    <w:basedOn w:val="Normal"/>
    <w:uiPriority w:val="99"/>
    <w:semiHidden/>
    <w:rsid w:val="000C4043"/>
    <w:rPr>
      <w:rFonts w:ascii="Times New Roman" w:hAnsi="Times New Roman" w:cs="Times New Roman"/>
      <w:szCs w:val="24"/>
    </w:rPr>
  </w:style>
  <w:style w:type="paragraph" w:styleId="Retraitnormal">
    <w:name w:val="Normal Indent"/>
    <w:basedOn w:val="Normal"/>
    <w:uiPriority w:val="99"/>
    <w:semiHidden/>
    <w:rsid w:val="000C4043"/>
    <w:pPr>
      <w:ind w:left="720"/>
    </w:pPr>
  </w:style>
  <w:style w:type="paragraph" w:styleId="Titredenote">
    <w:name w:val="Note Heading"/>
    <w:basedOn w:val="Normal"/>
    <w:next w:val="Normal"/>
    <w:link w:val="TitredenoteCar"/>
    <w:uiPriority w:val="99"/>
    <w:semiHidden/>
    <w:rsid w:val="000C4043"/>
  </w:style>
  <w:style w:type="character" w:customStyle="1" w:styleId="TitredenoteCar">
    <w:name w:val="Titre de note Car"/>
    <w:basedOn w:val="Policepardfaut"/>
    <w:link w:val="Titredenote"/>
    <w:rsid w:val="000C4043"/>
    <w:rPr>
      <w:rFonts w:eastAsiaTheme="minorEastAsia"/>
      <w:sz w:val="24"/>
      <w:lang w:val="en-US" w:eastAsia="en-US"/>
    </w:rPr>
  </w:style>
  <w:style w:type="character" w:styleId="Textedelespacerserv">
    <w:name w:val="Placeholder Text"/>
    <w:basedOn w:val="Policepardfaut"/>
    <w:uiPriority w:val="99"/>
    <w:semiHidden/>
    <w:rsid w:val="000C4043"/>
    <w:rPr>
      <w:color w:val="808080"/>
    </w:rPr>
  </w:style>
  <w:style w:type="paragraph" w:styleId="Textebrut">
    <w:name w:val="Plain Text"/>
    <w:basedOn w:val="Normal"/>
    <w:link w:val="TextebrutCar"/>
    <w:uiPriority w:val="99"/>
    <w:semiHidden/>
    <w:rsid w:val="000C4043"/>
    <w:rPr>
      <w:rFonts w:ascii="Consolas" w:hAnsi="Consolas" w:cs="Consolas"/>
      <w:sz w:val="21"/>
      <w:szCs w:val="21"/>
    </w:rPr>
  </w:style>
  <w:style w:type="character" w:customStyle="1" w:styleId="TextebrutCar">
    <w:name w:val="Texte brut Car"/>
    <w:basedOn w:val="Policepardfaut"/>
    <w:link w:val="Textebrut"/>
    <w:rsid w:val="000C4043"/>
    <w:rPr>
      <w:rFonts w:ascii="Consolas" w:eastAsiaTheme="minorEastAsia" w:hAnsi="Consolas" w:cs="Consolas"/>
      <w:sz w:val="21"/>
      <w:szCs w:val="21"/>
      <w:lang w:val="en-US" w:eastAsia="en-US"/>
    </w:rPr>
  </w:style>
  <w:style w:type="paragraph" w:styleId="Salutations">
    <w:name w:val="Salutation"/>
    <w:basedOn w:val="Normal"/>
    <w:next w:val="Normal"/>
    <w:link w:val="SalutationsCar"/>
    <w:uiPriority w:val="99"/>
    <w:semiHidden/>
    <w:rsid w:val="000C4043"/>
  </w:style>
  <w:style w:type="character" w:customStyle="1" w:styleId="SalutationsCar">
    <w:name w:val="Salutations Car"/>
    <w:basedOn w:val="Policepardfaut"/>
    <w:link w:val="Salutations"/>
    <w:rsid w:val="000C4043"/>
    <w:rPr>
      <w:rFonts w:eastAsiaTheme="minorEastAsia"/>
      <w:sz w:val="24"/>
      <w:lang w:val="en-US" w:eastAsia="en-US"/>
    </w:rPr>
  </w:style>
  <w:style w:type="paragraph" w:styleId="Signature">
    <w:name w:val="Signature"/>
    <w:basedOn w:val="Normal"/>
    <w:link w:val="SignatureCar"/>
    <w:uiPriority w:val="99"/>
    <w:semiHidden/>
    <w:rsid w:val="000C4043"/>
    <w:pPr>
      <w:ind w:left="4252"/>
    </w:pPr>
  </w:style>
  <w:style w:type="character" w:customStyle="1" w:styleId="SignatureCar">
    <w:name w:val="Signature Car"/>
    <w:basedOn w:val="Policepardfaut"/>
    <w:link w:val="Signature"/>
    <w:rsid w:val="000C4043"/>
    <w:rPr>
      <w:rFonts w:eastAsiaTheme="minorEastAsia"/>
      <w:sz w:val="24"/>
      <w:lang w:val="en-US" w:eastAsia="en-US"/>
    </w:rPr>
  </w:style>
  <w:style w:type="table" w:styleId="Effets3D1">
    <w:name w:val="Table 3D effects 1"/>
    <w:basedOn w:val="TableauNormal"/>
    <w:uiPriority w:val="99"/>
    <w:semiHidden/>
    <w:rsid w:val="000C404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uiPriority w:val="99"/>
    <w:semiHidden/>
    <w:rsid w:val="000C404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uiPriority w:val="99"/>
    <w:semiHidden/>
    <w:rsid w:val="000C404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1">
    <w:name w:val="Table Classic 1"/>
    <w:basedOn w:val="TableauNormal"/>
    <w:uiPriority w:val="99"/>
    <w:semiHidden/>
    <w:rsid w:val="000C404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uiPriority w:val="99"/>
    <w:semiHidden/>
    <w:rsid w:val="000C404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uiPriority w:val="99"/>
    <w:semiHidden/>
    <w:rsid w:val="000C404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uiPriority w:val="99"/>
    <w:semiHidden/>
    <w:rsid w:val="000C404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1">
    <w:name w:val="Table Colorful 1"/>
    <w:basedOn w:val="TableauNormal"/>
    <w:uiPriority w:val="99"/>
    <w:semiHidden/>
    <w:rsid w:val="000C404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uiPriority w:val="99"/>
    <w:semiHidden/>
    <w:rsid w:val="000C404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uiPriority w:val="99"/>
    <w:semiHidden/>
    <w:rsid w:val="000C404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uiPriority w:val="99"/>
    <w:semiHidden/>
    <w:rsid w:val="000C404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uiPriority w:val="99"/>
    <w:semiHidden/>
    <w:rsid w:val="000C404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uiPriority w:val="99"/>
    <w:semiHidden/>
    <w:rsid w:val="000C404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uiPriority w:val="99"/>
    <w:semiHidden/>
    <w:rsid w:val="000C404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uiPriority w:val="99"/>
    <w:semiHidden/>
    <w:rsid w:val="000C404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uiPriority w:val="99"/>
    <w:semiHidden/>
    <w:rsid w:val="000C404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uiPriority w:val="99"/>
    <w:semiHidden/>
    <w:rsid w:val="000C404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1">
    <w:name w:val="Table Grid 1"/>
    <w:basedOn w:val="TableauNormal"/>
    <w:uiPriority w:val="99"/>
    <w:semiHidden/>
    <w:rsid w:val="000C404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uiPriority w:val="99"/>
    <w:semiHidden/>
    <w:rsid w:val="000C404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uiPriority w:val="99"/>
    <w:semiHidden/>
    <w:rsid w:val="000C404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uiPriority w:val="99"/>
    <w:semiHidden/>
    <w:rsid w:val="000C404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uiPriority w:val="99"/>
    <w:semiHidden/>
    <w:rsid w:val="000C404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uiPriority w:val="99"/>
    <w:semiHidden/>
    <w:rsid w:val="000C404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uiPriority w:val="99"/>
    <w:semiHidden/>
    <w:rsid w:val="000C404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uiPriority w:val="99"/>
    <w:semiHidden/>
    <w:rsid w:val="000C404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eencolonnes1">
    <w:name w:val="Table List 1"/>
    <w:basedOn w:val="TableauNormal"/>
    <w:uiPriority w:val="99"/>
    <w:semiHidden/>
    <w:rsid w:val="000C404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eencolonnes2">
    <w:name w:val="Table List 2"/>
    <w:basedOn w:val="TableauNormal"/>
    <w:uiPriority w:val="99"/>
    <w:semiHidden/>
    <w:rsid w:val="000C404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eencolonnes3">
    <w:name w:val="Table List 3"/>
    <w:basedOn w:val="TableauNormal"/>
    <w:uiPriority w:val="99"/>
    <w:semiHidden/>
    <w:rsid w:val="000C404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eencolonnes4">
    <w:name w:val="Table List 4"/>
    <w:basedOn w:val="TableauNormal"/>
    <w:uiPriority w:val="99"/>
    <w:semiHidden/>
    <w:rsid w:val="000C404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eencolonnes5">
    <w:name w:val="Table List 5"/>
    <w:basedOn w:val="TableauNormal"/>
    <w:uiPriority w:val="99"/>
    <w:semiHidden/>
    <w:rsid w:val="000C404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eencolonnes6">
    <w:name w:val="Table List 6"/>
    <w:basedOn w:val="TableauNormal"/>
    <w:uiPriority w:val="99"/>
    <w:semiHidden/>
    <w:rsid w:val="000C404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eencolonnes7">
    <w:name w:val="Table List 7"/>
    <w:basedOn w:val="TableauNormal"/>
    <w:uiPriority w:val="99"/>
    <w:semiHidden/>
    <w:rsid w:val="000C404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eencolonnes8">
    <w:name w:val="Table List 8"/>
    <w:basedOn w:val="TableauNormal"/>
    <w:uiPriority w:val="99"/>
    <w:semiHidden/>
    <w:rsid w:val="000C404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autorits">
    <w:name w:val="table of authorities"/>
    <w:basedOn w:val="Normal"/>
    <w:next w:val="Normal"/>
    <w:uiPriority w:val="99"/>
    <w:semiHidden/>
    <w:rsid w:val="000C4043"/>
    <w:pPr>
      <w:ind w:left="240" w:hanging="240"/>
    </w:pPr>
  </w:style>
  <w:style w:type="paragraph" w:styleId="Tabledesillustrations">
    <w:name w:val="table of figures"/>
    <w:basedOn w:val="Normal"/>
    <w:next w:val="Normal"/>
    <w:uiPriority w:val="99"/>
    <w:semiHidden/>
    <w:rsid w:val="000C4043"/>
  </w:style>
  <w:style w:type="table" w:styleId="Professionnel">
    <w:name w:val="Table Professional"/>
    <w:basedOn w:val="TableauNormal"/>
    <w:uiPriority w:val="99"/>
    <w:semiHidden/>
    <w:rsid w:val="000C404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uiPriority w:val="99"/>
    <w:semiHidden/>
    <w:rsid w:val="000C404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uiPriority w:val="99"/>
    <w:semiHidden/>
    <w:rsid w:val="000C404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uiPriority w:val="99"/>
    <w:semiHidden/>
    <w:rsid w:val="000C404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uiPriority w:val="99"/>
    <w:semiHidden/>
    <w:rsid w:val="000C404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uiPriority w:val="99"/>
    <w:semiHidden/>
    <w:rsid w:val="000C404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
    <w:name w:val="Table Theme"/>
    <w:basedOn w:val="TableauNormal"/>
    <w:uiPriority w:val="99"/>
    <w:semiHidden/>
    <w:rsid w:val="000C404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uiPriority w:val="99"/>
    <w:semiHidden/>
    <w:rsid w:val="000C404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uiPriority w:val="99"/>
    <w:semiHidden/>
    <w:rsid w:val="000C404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uiPriority w:val="99"/>
    <w:semiHidden/>
    <w:rsid w:val="000C404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M6">
    <w:name w:val="toc 6"/>
    <w:basedOn w:val="Normal"/>
    <w:next w:val="Normal"/>
    <w:autoRedefine/>
    <w:uiPriority w:val="99"/>
    <w:semiHidden/>
    <w:rsid w:val="000C4043"/>
    <w:pPr>
      <w:spacing w:after="100"/>
      <w:ind w:left="1200"/>
    </w:pPr>
  </w:style>
  <w:style w:type="paragraph" w:styleId="TM7">
    <w:name w:val="toc 7"/>
    <w:basedOn w:val="Normal"/>
    <w:next w:val="Normal"/>
    <w:autoRedefine/>
    <w:uiPriority w:val="99"/>
    <w:semiHidden/>
    <w:rsid w:val="000C4043"/>
    <w:pPr>
      <w:spacing w:after="100"/>
      <w:ind w:left="1440"/>
    </w:pPr>
  </w:style>
  <w:style w:type="paragraph" w:styleId="TM8">
    <w:name w:val="toc 8"/>
    <w:basedOn w:val="Normal"/>
    <w:next w:val="Normal"/>
    <w:autoRedefine/>
    <w:uiPriority w:val="99"/>
    <w:semiHidden/>
    <w:rsid w:val="000C4043"/>
    <w:pPr>
      <w:spacing w:after="100"/>
      <w:ind w:left="1680"/>
    </w:pPr>
  </w:style>
  <w:style w:type="paragraph" w:styleId="TM9">
    <w:name w:val="toc 9"/>
    <w:basedOn w:val="Normal"/>
    <w:next w:val="Normal"/>
    <w:autoRedefine/>
    <w:uiPriority w:val="99"/>
    <w:semiHidden/>
    <w:rsid w:val="000C4043"/>
    <w:pPr>
      <w:spacing w:after="100"/>
      <w:ind w:left="1920"/>
    </w:pPr>
  </w:style>
  <w:style w:type="paragraph" w:customStyle="1" w:styleId="DummyStyle">
    <w:name w:val="Dummy_Style"/>
    <w:basedOn w:val="Normal"/>
    <w:semiHidden/>
    <w:qFormat/>
    <w:rsid w:val="004C1AE4"/>
    <w:rPr>
      <w:color w:val="00B050"/>
      <w:lang w:val="fr-FR" w:eastAsia="fr-FR"/>
    </w:rPr>
  </w:style>
  <w:style w:type="character" w:customStyle="1" w:styleId="JuH1Char">
    <w:name w:val="Ju_H_1. Char"/>
    <w:basedOn w:val="Policepardfaut"/>
    <w:link w:val="ECHRHeading3"/>
    <w:uiPriority w:val="21"/>
    <w:rsid w:val="00544688"/>
    <w:rPr>
      <w:rFonts w:asciiTheme="majorHAnsi" w:eastAsiaTheme="majorEastAsia" w:hAnsiTheme="majorHAnsi" w:cstheme="majorBidi"/>
      <w:bCs/>
      <w:i/>
      <w:sz w:val="24"/>
    </w:rPr>
  </w:style>
  <w:style w:type="character" w:customStyle="1" w:styleId="JuHaChar">
    <w:name w:val="Ju_H_a Char"/>
    <w:basedOn w:val="JuH1Char"/>
    <w:link w:val="ECHRHeading4"/>
    <w:uiPriority w:val="22"/>
    <w:rsid w:val="00544688"/>
    <w:rPr>
      <w:rFonts w:asciiTheme="majorHAnsi" w:eastAsiaTheme="majorEastAsia" w:hAnsiTheme="majorHAnsi" w:cstheme="majorBidi"/>
      <w:b/>
      <w:bCs/>
      <w:i w:val="0"/>
      <w:iCs/>
      <w:sz w:val="20"/>
    </w:rPr>
  </w:style>
  <w:style w:type="character" w:customStyle="1" w:styleId="JuQuotChar">
    <w:name w:val="Ju_Quot Char"/>
    <w:basedOn w:val="ECHRParaChar"/>
    <w:link w:val="ECHRParaQuote"/>
    <w:uiPriority w:val="14"/>
    <w:locked/>
    <w:rsid w:val="00076D51"/>
    <w:rPr>
      <w:rFonts w:eastAsiaTheme="minorEastAsi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756">
      <w:bodyDiv w:val="1"/>
      <w:marLeft w:val="0"/>
      <w:marRight w:val="0"/>
      <w:marTop w:val="0"/>
      <w:marBottom w:val="0"/>
      <w:divBdr>
        <w:top w:val="none" w:sz="0" w:space="0" w:color="auto"/>
        <w:left w:val="none" w:sz="0" w:space="0" w:color="auto"/>
        <w:bottom w:val="none" w:sz="0" w:space="0" w:color="auto"/>
        <w:right w:val="none" w:sz="0" w:space="0" w:color="auto"/>
      </w:divBdr>
      <w:divsChild>
        <w:div w:id="1205291964">
          <w:marLeft w:val="0"/>
          <w:marRight w:val="0"/>
          <w:marTop w:val="0"/>
          <w:marBottom w:val="0"/>
          <w:divBdr>
            <w:top w:val="none" w:sz="0" w:space="0" w:color="auto"/>
            <w:left w:val="none" w:sz="0" w:space="0" w:color="auto"/>
            <w:bottom w:val="none" w:sz="0" w:space="0" w:color="auto"/>
            <w:right w:val="none" w:sz="0" w:space="0" w:color="auto"/>
          </w:divBdr>
          <w:divsChild>
            <w:div w:id="781338521">
              <w:marLeft w:val="0"/>
              <w:marRight w:val="0"/>
              <w:marTop w:val="0"/>
              <w:marBottom w:val="0"/>
              <w:divBdr>
                <w:top w:val="none" w:sz="0" w:space="0" w:color="auto"/>
                <w:left w:val="none" w:sz="0" w:space="0" w:color="auto"/>
                <w:bottom w:val="none" w:sz="0" w:space="0" w:color="auto"/>
                <w:right w:val="none" w:sz="0" w:space="0" w:color="auto"/>
              </w:divBdr>
              <w:divsChild>
                <w:div w:id="1834299170">
                  <w:marLeft w:val="0"/>
                  <w:marRight w:val="0"/>
                  <w:marTop w:val="0"/>
                  <w:marBottom w:val="0"/>
                  <w:divBdr>
                    <w:top w:val="none" w:sz="0" w:space="0" w:color="auto"/>
                    <w:left w:val="none" w:sz="0" w:space="0" w:color="auto"/>
                    <w:bottom w:val="none" w:sz="0" w:space="0" w:color="auto"/>
                    <w:right w:val="none" w:sz="0" w:space="0" w:color="auto"/>
                  </w:divBdr>
                  <w:divsChild>
                    <w:div w:id="1677535765">
                      <w:marLeft w:val="0"/>
                      <w:marRight w:val="0"/>
                      <w:marTop w:val="0"/>
                      <w:marBottom w:val="0"/>
                      <w:divBdr>
                        <w:top w:val="none" w:sz="0" w:space="0" w:color="auto"/>
                        <w:left w:val="none" w:sz="0" w:space="0" w:color="auto"/>
                        <w:bottom w:val="none" w:sz="0" w:space="0" w:color="auto"/>
                        <w:right w:val="none" w:sz="0" w:space="0" w:color="auto"/>
                      </w:divBdr>
                      <w:divsChild>
                        <w:div w:id="1271935549">
                          <w:marLeft w:val="0"/>
                          <w:marRight w:val="0"/>
                          <w:marTop w:val="0"/>
                          <w:marBottom w:val="0"/>
                          <w:divBdr>
                            <w:top w:val="none" w:sz="0" w:space="0" w:color="auto"/>
                            <w:left w:val="none" w:sz="0" w:space="0" w:color="auto"/>
                            <w:bottom w:val="none" w:sz="0" w:space="0" w:color="auto"/>
                            <w:right w:val="none" w:sz="0" w:space="0" w:color="auto"/>
                          </w:divBdr>
                          <w:divsChild>
                            <w:div w:id="4779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025448">
      <w:bodyDiv w:val="1"/>
      <w:marLeft w:val="0"/>
      <w:marRight w:val="0"/>
      <w:marTop w:val="0"/>
      <w:marBottom w:val="0"/>
      <w:divBdr>
        <w:top w:val="none" w:sz="0" w:space="0" w:color="auto"/>
        <w:left w:val="none" w:sz="0" w:space="0" w:color="auto"/>
        <w:bottom w:val="none" w:sz="0" w:space="0" w:color="auto"/>
        <w:right w:val="none" w:sz="0" w:space="0" w:color="auto"/>
      </w:divBdr>
      <w:divsChild>
        <w:div w:id="1911428438">
          <w:marLeft w:val="0"/>
          <w:marRight w:val="0"/>
          <w:marTop w:val="0"/>
          <w:marBottom w:val="0"/>
          <w:divBdr>
            <w:top w:val="none" w:sz="0" w:space="0" w:color="auto"/>
            <w:left w:val="none" w:sz="0" w:space="0" w:color="auto"/>
            <w:bottom w:val="none" w:sz="0" w:space="0" w:color="auto"/>
            <w:right w:val="none" w:sz="0" w:space="0" w:color="auto"/>
          </w:divBdr>
          <w:divsChild>
            <w:div w:id="820459630">
              <w:marLeft w:val="0"/>
              <w:marRight w:val="0"/>
              <w:marTop w:val="0"/>
              <w:marBottom w:val="0"/>
              <w:divBdr>
                <w:top w:val="none" w:sz="0" w:space="0" w:color="auto"/>
                <w:left w:val="none" w:sz="0" w:space="0" w:color="auto"/>
                <w:bottom w:val="none" w:sz="0" w:space="0" w:color="auto"/>
                <w:right w:val="none" w:sz="0" w:space="0" w:color="auto"/>
              </w:divBdr>
              <w:divsChild>
                <w:div w:id="1688369195">
                  <w:marLeft w:val="0"/>
                  <w:marRight w:val="0"/>
                  <w:marTop w:val="0"/>
                  <w:marBottom w:val="0"/>
                  <w:divBdr>
                    <w:top w:val="none" w:sz="0" w:space="0" w:color="auto"/>
                    <w:left w:val="none" w:sz="0" w:space="0" w:color="auto"/>
                    <w:bottom w:val="none" w:sz="0" w:space="0" w:color="auto"/>
                    <w:right w:val="none" w:sz="0" w:space="0" w:color="auto"/>
                  </w:divBdr>
                  <w:divsChild>
                    <w:div w:id="1545555582">
                      <w:marLeft w:val="0"/>
                      <w:marRight w:val="0"/>
                      <w:marTop w:val="0"/>
                      <w:marBottom w:val="0"/>
                      <w:divBdr>
                        <w:top w:val="none" w:sz="0" w:space="0" w:color="auto"/>
                        <w:left w:val="none" w:sz="0" w:space="0" w:color="auto"/>
                        <w:bottom w:val="none" w:sz="0" w:space="0" w:color="auto"/>
                        <w:right w:val="none" w:sz="0" w:space="0" w:color="auto"/>
                      </w:divBdr>
                      <w:divsChild>
                        <w:div w:id="653610278">
                          <w:marLeft w:val="0"/>
                          <w:marRight w:val="0"/>
                          <w:marTop w:val="0"/>
                          <w:marBottom w:val="0"/>
                          <w:divBdr>
                            <w:top w:val="none" w:sz="0" w:space="0" w:color="auto"/>
                            <w:left w:val="none" w:sz="0" w:space="0" w:color="auto"/>
                            <w:bottom w:val="none" w:sz="0" w:space="0" w:color="auto"/>
                            <w:right w:val="none" w:sz="0" w:space="0" w:color="auto"/>
                          </w:divBdr>
                          <w:divsChild>
                            <w:div w:id="18515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4388">
      <w:bodyDiv w:val="1"/>
      <w:marLeft w:val="0"/>
      <w:marRight w:val="0"/>
      <w:marTop w:val="0"/>
      <w:marBottom w:val="0"/>
      <w:divBdr>
        <w:top w:val="none" w:sz="0" w:space="0" w:color="auto"/>
        <w:left w:val="none" w:sz="0" w:space="0" w:color="auto"/>
        <w:bottom w:val="none" w:sz="0" w:space="0" w:color="auto"/>
        <w:right w:val="none" w:sz="0" w:space="0" w:color="auto"/>
      </w:divBdr>
      <w:divsChild>
        <w:div w:id="507907917">
          <w:marLeft w:val="0"/>
          <w:marRight w:val="0"/>
          <w:marTop w:val="0"/>
          <w:marBottom w:val="0"/>
          <w:divBdr>
            <w:top w:val="none" w:sz="0" w:space="0" w:color="auto"/>
            <w:left w:val="none" w:sz="0" w:space="0" w:color="auto"/>
            <w:bottom w:val="none" w:sz="0" w:space="0" w:color="auto"/>
            <w:right w:val="none" w:sz="0" w:space="0" w:color="auto"/>
          </w:divBdr>
          <w:divsChild>
            <w:div w:id="1281037060">
              <w:marLeft w:val="0"/>
              <w:marRight w:val="0"/>
              <w:marTop w:val="0"/>
              <w:marBottom w:val="0"/>
              <w:divBdr>
                <w:top w:val="none" w:sz="0" w:space="0" w:color="auto"/>
                <w:left w:val="none" w:sz="0" w:space="0" w:color="auto"/>
                <w:bottom w:val="none" w:sz="0" w:space="0" w:color="auto"/>
                <w:right w:val="none" w:sz="0" w:space="0" w:color="auto"/>
              </w:divBdr>
              <w:divsChild>
                <w:div w:id="362485820">
                  <w:marLeft w:val="0"/>
                  <w:marRight w:val="0"/>
                  <w:marTop w:val="0"/>
                  <w:marBottom w:val="0"/>
                  <w:divBdr>
                    <w:top w:val="none" w:sz="0" w:space="0" w:color="auto"/>
                    <w:left w:val="none" w:sz="0" w:space="0" w:color="auto"/>
                    <w:bottom w:val="none" w:sz="0" w:space="0" w:color="auto"/>
                    <w:right w:val="none" w:sz="0" w:space="0" w:color="auto"/>
                  </w:divBdr>
                  <w:divsChild>
                    <w:div w:id="373307767">
                      <w:marLeft w:val="0"/>
                      <w:marRight w:val="0"/>
                      <w:marTop w:val="0"/>
                      <w:marBottom w:val="0"/>
                      <w:divBdr>
                        <w:top w:val="none" w:sz="0" w:space="0" w:color="auto"/>
                        <w:left w:val="none" w:sz="0" w:space="0" w:color="auto"/>
                        <w:bottom w:val="none" w:sz="0" w:space="0" w:color="auto"/>
                        <w:right w:val="none" w:sz="0" w:space="0" w:color="auto"/>
                      </w:divBdr>
                      <w:divsChild>
                        <w:div w:id="247229988">
                          <w:marLeft w:val="0"/>
                          <w:marRight w:val="0"/>
                          <w:marTop w:val="0"/>
                          <w:marBottom w:val="0"/>
                          <w:divBdr>
                            <w:top w:val="none" w:sz="0" w:space="0" w:color="auto"/>
                            <w:left w:val="none" w:sz="0" w:space="0" w:color="auto"/>
                            <w:bottom w:val="none" w:sz="0" w:space="0" w:color="auto"/>
                            <w:right w:val="none" w:sz="0" w:space="0" w:color="auto"/>
                          </w:divBdr>
                          <w:divsChild>
                            <w:div w:id="6634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841672">
      <w:bodyDiv w:val="1"/>
      <w:marLeft w:val="0"/>
      <w:marRight w:val="0"/>
      <w:marTop w:val="0"/>
      <w:marBottom w:val="0"/>
      <w:divBdr>
        <w:top w:val="none" w:sz="0" w:space="0" w:color="auto"/>
        <w:left w:val="none" w:sz="0" w:space="0" w:color="auto"/>
        <w:bottom w:val="none" w:sz="0" w:space="0" w:color="auto"/>
        <w:right w:val="none" w:sz="0" w:space="0" w:color="auto"/>
      </w:divBdr>
    </w:div>
    <w:div w:id="709301255">
      <w:bodyDiv w:val="1"/>
      <w:marLeft w:val="0"/>
      <w:marRight w:val="0"/>
      <w:marTop w:val="0"/>
      <w:marBottom w:val="0"/>
      <w:divBdr>
        <w:top w:val="none" w:sz="0" w:space="0" w:color="auto"/>
        <w:left w:val="none" w:sz="0" w:space="0" w:color="auto"/>
        <w:bottom w:val="none" w:sz="0" w:space="0" w:color="auto"/>
        <w:right w:val="none" w:sz="0" w:space="0" w:color="auto"/>
      </w:divBdr>
    </w:div>
    <w:div w:id="926228237">
      <w:bodyDiv w:val="1"/>
      <w:marLeft w:val="0"/>
      <w:marRight w:val="0"/>
      <w:marTop w:val="0"/>
      <w:marBottom w:val="0"/>
      <w:divBdr>
        <w:top w:val="none" w:sz="0" w:space="0" w:color="auto"/>
        <w:left w:val="none" w:sz="0" w:space="0" w:color="auto"/>
        <w:bottom w:val="none" w:sz="0" w:space="0" w:color="auto"/>
        <w:right w:val="none" w:sz="0" w:space="0" w:color="auto"/>
      </w:divBdr>
      <w:divsChild>
        <w:div w:id="1628396081">
          <w:marLeft w:val="0"/>
          <w:marRight w:val="0"/>
          <w:marTop w:val="0"/>
          <w:marBottom w:val="0"/>
          <w:divBdr>
            <w:top w:val="none" w:sz="0" w:space="0" w:color="auto"/>
            <w:left w:val="none" w:sz="0" w:space="0" w:color="auto"/>
            <w:bottom w:val="none" w:sz="0" w:space="0" w:color="auto"/>
            <w:right w:val="none" w:sz="0" w:space="0" w:color="auto"/>
          </w:divBdr>
          <w:divsChild>
            <w:div w:id="553351125">
              <w:marLeft w:val="0"/>
              <w:marRight w:val="0"/>
              <w:marTop w:val="0"/>
              <w:marBottom w:val="0"/>
              <w:divBdr>
                <w:top w:val="none" w:sz="0" w:space="0" w:color="auto"/>
                <w:left w:val="none" w:sz="0" w:space="0" w:color="auto"/>
                <w:bottom w:val="none" w:sz="0" w:space="0" w:color="auto"/>
                <w:right w:val="none" w:sz="0" w:space="0" w:color="auto"/>
              </w:divBdr>
              <w:divsChild>
                <w:div w:id="2052918741">
                  <w:marLeft w:val="0"/>
                  <w:marRight w:val="0"/>
                  <w:marTop w:val="0"/>
                  <w:marBottom w:val="0"/>
                  <w:divBdr>
                    <w:top w:val="none" w:sz="0" w:space="0" w:color="auto"/>
                    <w:left w:val="none" w:sz="0" w:space="0" w:color="auto"/>
                    <w:bottom w:val="none" w:sz="0" w:space="0" w:color="auto"/>
                    <w:right w:val="none" w:sz="0" w:space="0" w:color="auto"/>
                  </w:divBdr>
                  <w:divsChild>
                    <w:div w:id="1638026408">
                      <w:marLeft w:val="0"/>
                      <w:marRight w:val="0"/>
                      <w:marTop w:val="0"/>
                      <w:marBottom w:val="0"/>
                      <w:divBdr>
                        <w:top w:val="none" w:sz="0" w:space="0" w:color="auto"/>
                        <w:left w:val="none" w:sz="0" w:space="0" w:color="auto"/>
                        <w:bottom w:val="none" w:sz="0" w:space="0" w:color="auto"/>
                        <w:right w:val="none" w:sz="0" w:space="0" w:color="auto"/>
                      </w:divBdr>
                      <w:divsChild>
                        <w:div w:id="1304651048">
                          <w:marLeft w:val="0"/>
                          <w:marRight w:val="0"/>
                          <w:marTop w:val="0"/>
                          <w:marBottom w:val="0"/>
                          <w:divBdr>
                            <w:top w:val="none" w:sz="0" w:space="0" w:color="auto"/>
                            <w:left w:val="none" w:sz="0" w:space="0" w:color="auto"/>
                            <w:bottom w:val="none" w:sz="0" w:space="0" w:color="auto"/>
                            <w:right w:val="none" w:sz="0" w:space="0" w:color="auto"/>
                          </w:divBdr>
                          <w:divsChild>
                            <w:div w:id="14908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085971">
      <w:bodyDiv w:val="1"/>
      <w:marLeft w:val="0"/>
      <w:marRight w:val="0"/>
      <w:marTop w:val="0"/>
      <w:marBottom w:val="0"/>
      <w:divBdr>
        <w:top w:val="none" w:sz="0" w:space="0" w:color="auto"/>
        <w:left w:val="none" w:sz="0" w:space="0" w:color="auto"/>
        <w:bottom w:val="none" w:sz="0" w:space="0" w:color="auto"/>
        <w:right w:val="none" w:sz="0" w:space="0" w:color="auto"/>
      </w:divBdr>
      <w:divsChild>
        <w:div w:id="1759791644">
          <w:marLeft w:val="0"/>
          <w:marRight w:val="0"/>
          <w:marTop w:val="0"/>
          <w:marBottom w:val="0"/>
          <w:divBdr>
            <w:top w:val="none" w:sz="0" w:space="0" w:color="auto"/>
            <w:left w:val="none" w:sz="0" w:space="0" w:color="auto"/>
            <w:bottom w:val="none" w:sz="0" w:space="0" w:color="auto"/>
            <w:right w:val="none" w:sz="0" w:space="0" w:color="auto"/>
          </w:divBdr>
          <w:divsChild>
            <w:div w:id="1478036196">
              <w:marLeft w:val="0"/>
              <w:marRight w:val="0"/>
              <w:marTop w:val="0"/>
              <w:marBottom w:val="0"/>
              <w:divBdr>
                <w:top w:val="none" w:sz="0" w:space="0" w:color="auto"/>
                <w:left w:val="none" w:sz="0" w:space="0" w:color="auto"/>
                <w:bottom w:val="none" w:sz="0" w:space="0" w:color="auto"/>
                <w:right w:val="none" w:sz="0" w:space="0" w:color="auto"/>
              </w:divBdr>
              <w:divsChild>
                <w:div w:id="225116663">
                  <w:marLeft w:val="0"/>
                  <w:marRight w:val="0"/>
                  <w:marTop w:val="0"/>
                  <w:marBottom w:val="0"/>
                  <w:divBdr>
                    <w:top w:val="none" w:sz="0" w:space="0" w:color="auto"/>
                    <w:left w:val="none" w:sz="0" w:space="0" w:color="auto"/>
                    <w:bottom w:val="none" w:sz="0" w:space="0" w:color="auto"/>
                    <w:right w:val="none" w:sz="0" w:space="0" w:color="auto"/>
                  </w:divBdr>
                  <w:divsChild>
                    <w:div w:id="1290866970">
                      <w:marLeft w:val="0"/>
                      <w:marRight w:val="0"/>
                      <w:marTop w:val="0"/>
                      <w:marBottom w:val="0"/>
                      <w:divBdr>
                        <w:top w:val="none" w:sz="0" w:space="0" w:color="auto"/>
                        <w:left w:val="none" w:sz="0" w:space="0" w:color="auto"/>
                        <w:bottom w:val="none" w:sz="0" w:space="0" w:color="auto"/>
                        <w:right w:val="none" w:sz="0" w:space="0" w:color="auto"/>
                      </w:divBdr>
                      <w:divsChild>
                        <w:div w:id="283655898">
                          <w:marLeft w:val="0"/>
                          <w:marRight w:val="0"/>
                          <w:marTop w:val="0"/>
                          <w:marBottom w:val="0"/>
                          <w:divBdr>
                            <w:top w:val="none" w:sz="0" w:space="0" w:color="auto"/>
                            <w:left w:val="none" w:sz="0" w:space="0" w:color="auto"/>
                            <w:bottom w:val="none" w:sz="0" w:space="0" w:color="auto"/>
                            <w:right w:val="none" w:sz="0" w:space="0" w:color="auto"/>
                          </w:divBdr>
                          <w:divsChild>
                            <w:div w:id="8835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473185">
      <w:bodyDiv w:val="1"/>
      <w:marLeft w:val="0"/>
      <w:marRight w:val="0"/>
      <w:marTop w:val="0"/>
      <w:marBottom w:val="0"/>
      <w:divBdr>
        <w:top w:val="none" w:sz="0" w:space="0" w:color="auto"/>
        <w:left w:val="none" w:sz="0" w:space="0" w:color="auto"/>
        <w:bottom w:val="none" w:sz="0" w:space="0" w:color="auto"/>
        <w:right w:val="none" w:sz="0" w:space="0" w:color="auto"/>
      </w:divBdr>
    </w:div>
    <w:div w:id="973099293">
      <w:bodyDiv w:val="1"/>
      <w:marLeft w:val="0"/>
      <w:marRight w:val="0"/>
      <w:marTop w:val="0"/>
      <w:marBottom w:val="0"/>
      <w:divBdr>
        <w:top w:val="none" w:sz="0" w:space="0" w:color="auto"/>
        <w:left w:val="none" w:sz="0" w:space="0" w:color="auto"/>
        <w:bottom w:val="none" w:sz="0" w:space="0" w:color="auto"/>
        <w:right w:val="none" w:sz="0" w:space="0" w:color="auto"/>
      </w:divBdr>
    </w:div>
    <w:div w:id="1197160796">
      <w:bodyDiv w:val="1"/>
      <w:marLeft w:val="0"/>
      <w:marRight w:val="0"/>
      <w:marTop w:val="0"/>
      <w:marBottom w:val="0"/>
      <w:divBdr>
        <w:top w:val="none" w:sz="0" w:space="0" w:color="auto"/>
        <w:left w:val="none" w:sz="0" w:space="0" w:color="auto"/>
        <w:bottom w:val="none" w:sz="0" w:space="0" w:color="auto"/>
        <w:right w:val="none" w:sz="0" w:space="0" w:color="auto"/>
      </w:divBdr>
      <w:divsChild>
        <w:div w:id="1447581811">
          <w:marLeft w:val="0"/>
          <w:marRight w:val="0"/>
          <w:marTop w:val="0"/>
          <w:marBottom w:val="0"/>
          <w:divBdr>
            <w:top w:val="none" w:sz="0" w:space="0" w:color="auto"/>
            <w:left w:val="none" w:sz="0" w:space="0" w:color="auto"/>
            <w:bottom w:val="none" w:sz="0" w:space="0" w:color="auto"/>
            <w:right w:val="none" w:sz="0" w:space="0" w:color="auto"/>
          </w:divBdr>
          <w:divsChild>
            <w:div w:id="1632709801">
              <w:marLeft w:val="0"/>
              <w:marRight w:val="0"/>
              <w:marTop w:val="0"/>
              <w:marBottom w:val="0"/>
              <w:divBdr>
                <w:top w:val="none" w:sz="0" w:space="0" w:color="auto"/>
                <w:left w:val="none" w:sz="0" w:space="0" w:color="auto"/>
                <w:bottom w:val="none" w:sz="0" w:space="0" w:color="auto"/>
                <w:right w:val="none" w:sz="0" w:space="0" w:color="auto"/>
              </w:divBdr>
              <w:divsChild>
                <w:div w:id="367146317">
                  <w:marLeft w:val="0"/>
                  <w:marRight w:val="0"/>
                  <w:marTop w:val="0"/>
                  <w:marBottom w:val="0"/>
                  <w:divBdr>
                    <w:top w:val="none" w:sz="0" w:space="0" w:color="auto"/>
                    <w:left w:val="none" w:sz="0" w:space="0" w:color="auto"/>
                    <w:bottom w:val="none" w:sz="0" w:space="0" w:color="auto"/>
                    <w:right w:val="none" w:sz="0" w:space="0" w:color="auto"/>
                  </w:divBdr>
                  <w:divsChild>
                    <w:div w:id="31006863">
                      <w:marLeft w:val="0"/>
                      <w:marRight w:val="0"/>
                      <w:marTop w:val="0"/>
                      <w:marBottom w:val="0"/>
                      <w:divBdr>
                        <w:top w:val="none" w:sz="0" w:space="0" w:color="auto"/>
                        <w:left w:val="none" w:sz="0" w:space="0" w:color="auto"/>
                        <w:bottom w:val="none" w:sz="0" w:space="0" w:color="auto"/>
                        <w:right w:val="none" w:sz="0" w:space="0" w:color="auto"/>
                      </w:divBdr>
                      <w:divsChild>
                        <w:div w:id="2060090674">
                          <w:marLeft w:val="0"/>
                          <w:marRight w:val="0"/>
                          <w:marTop w:val="0"/>
                          <w:marBottom w:val="0"/>
                          <w:divBdr>
                            <w:top w:val="none" w:sz="0" w:space="0" w:color="auto"/>
                            <w:left w:val="none" w:sz="0" w:space="0" w:color="auto"/>
                            <w:bottom w:val="none" w:sz="0" w:space="0" w:color="auto"/>
                            <w:right w:val="none" w:sz="0" w:space="0" w:color="auto"/>
                          </w:divBdr>
                          <w:divsChild>
                            <w:div w:id="10242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533637">
      <w:bodyDiv w:val="1"/>
      <w:marLeft w:val="0"/>
      <w:marRight w:val="0"/>
      <w:marTop w:val="0"/>
      <w:marBottom w:val="0"/>
      <w:divBdr>
        <w:top w:val="none" w:sz="0" w:space="0" w:color="auto"/>
        <w:left w:val="none" w:sz="0" w:space="0" w:color="auto"/>
        <w:bottom w:val="none" w:sz="0" w:space="0" w:color="auto"/>
        <w:right w:val="none" w:sz="0" w:space="0" w:color="auto"/>
      </w:divBdr>
      <w:divsChild>
        <w:div w:id="100154538">
          <w:marLeft w:val="0"/>
          <w:marRight w:val="0"/>
          <w:marTop w:val="0"/>
          <w:marBottom w:val="0"/>
          <w:divBdr>
            <w:top w:val="none" w:sz="0" w:space="0" w:color="auto"/>
            <w:left w:val="none" w:sz="0" w:space="0" w:color="auto"/>
            <w:bottom w:val="none" w:sz="0" w:space="0" w:color="auto"/>
            <w:right w:val="none" w:sz="0" w:space="0" w:color="auto"/>
          </w:divBdr>
          <w:divsChild>
            <w:div w:id="548608158">
              <w:marLeft w:val="0"/>
              <w:marRight w:val="0"/>
              <w:marTop w:val="0"/>
              <w:marBottom w:val="0"/>
              <w:divBdr>
                <w:top w:val="none" w:sz="0" w:space="0" w:color="auto"/>
                <w:left w:val="none" w:sz="0" w:space="0" w:color="auto"/>
                <w:bottom w:val="none" w:sz="0" w:space="0" w:color="auto"/>
                <w:right w:val="none" w:sz="0" w:space="0" w:color="auto"/>
              </w:divBdr>
              <w:divsChild>
                <w:div w:id="2131701457">
                  <w:marLeft w:val="0"/>
                  <w:marRight w:val="0"/>
                  <w:marTop w:val="0"/>
                  <w:marBottom w:val="0"/>
                  <w:divBdr>
                    <w:top w:val="none" w:sz="0" w:space="0" w:color="auto"/>
                    <w:left w:val="none" w:sz="0" w:space="0" w:color="auto"/>
                    <w:bottom w:val="none" w:sz="0" w:space="0" w:color="auto"/>
                    <w:right w:val="none" w:sz="0" w:space="0" w:color="auto"/>
                  </w:divBdr>
                  <w:divsChild>
                    <w:div w:id="1706370451">
                      <w:marLeft w:val="0"/>
                      <w:marRight w:val="0"/>
                      <w:marTop w:val="0"/>
                      <w:marBottom w:val="0"/>
                      <w:divBdr>
                        <w:top w:val="none" w:sz="0" w:space="0" w:color="auto"/>
                        <w:left w:val="none" w:sz="0" w:space="0" w:color="auto"/>
                        <w:bottom w:val="none" w:sz="0" w:space="0" w:color="auto"/>
                        <w:right w:val="none" w:sz="0" w:space="0" w:color="auto"/>
                      </w:divBdr>
                      <w:divsChild>
                        <w:div w:id="873692748">
                          <w:marLeft w:val="0"/>
                          <w:marRight w:val="0"/>
                          <w:marTop w:val="0"/>
                          <w:marBottom w:val="0"/>
                          <w:divBdr>
                            <w:top w:val="none" w:sz="0" w:space="0" w:color="auto"/>
                            <w:left w:val="none" w:sz="0" w:space="0" w:color="auto"/>
                            <w:bottom w:val="none" w:sz="0" w:space="0" w:color="auto"/>
                            <w:right w:val="none" w:sz="0" w:space="0" w:color="auto"/>
                          </w:divBdr>
                          <w:divsChild>
                            <w:div w:id="14626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2914">
      <w:bodyDiv w:val="1"/>
      <w:marLeft w:val="0"/>
      <w:marRight w:val="0"/>
      <w:marTop w:val="0"/>
      <w:marBottom w:val="0"/>
      <w:divBdr>
        <w:top w:val="none" w:sz="0" w:space="0" w:color="auto"/>
        <w:left w:val="none" w:sz="0" w:space="0" w:color="auto"/>
        <w:bottom w:val="none" w:sz="0" w:space="0" w:color="auto"/>
        <w:right w:val="none" w:sz="0" w:space="0" w:color="auto"/>
      </w:divBdr>
      <w:divsChild>
        <w:div w:id="2062704579">
          <w:marLeft w:val="0"/>
          <w:marRight w:val="0"/>
          <w:marTop w:val="0"/>
          <w:marBottom w:val="0"/>
          <w:divBdr>
            <w:top w:val="none" w:sz="0" w:space="0" w:color="auto"/>
            <w:left w:val="none" w:sz="0" w:space="0" w:color="auto"/>
            <w:bottom w:val="none" w:sz="0" w:space="0" w:color="auto"/>
            <w:right w:val="none" w:sz="0" w:space="0" w:color="auto"/>
          </w:divBdr>
          <w:divsChild>
            <w:div w:id="63723953">
              <w:marLeft w:val="0"/>
              <w:marRight w:val="0"/>
              <w:marTop w:val="0"/>
              <w:marBottom w:val="0"/>
              <w:divBdr>
                <w:top w:val="none" w:sz="0" w:space="0" w:color="auto"/>
                <w:left w:val="none" w:sz="0" w:space="0" w:color="auto"/>
                <w:bottom w:val="none" w:sz="0" w:space="0" w:color="auto"/>
                <w:right w:val="none" w:sz="0" w:space="0" w:color="auto"/>
              </w:divBdr>
              <w:divsChild>
                <w:div w:id="1972203795">
                  <w:marLeft w:val="0"/>
                  <w:marRight w:val="0"/>
                  <w:marTop w:val="0"/>
                  <w:marBottom w:val="0"/>
                  <w:divBdr>
                    <w:top w:val="none" w:sz="0" w:space="0" w:color="auto"/>
                    <w:left w:val="none" w:sz="0" w:space="0" w:color="auto"/>
                    <w:bottom w:val="none" w:sz="0" w:space="0" w:color="auto"/>
                    <w:right w:val="none" w:sz="0" w:space="0" w:color="auto"/>
                  </w:divBdr>
                  <w:divsChild>
                    <w:div w:id="647704636">
                      <w:marLeft w:val="0"/>
                      <w:marRight w:val="0"/>
                      <w:marTop w:val="0"/>
                      <w:marBottom w:val="0"/>
                      <w:divBdr>
                        <w:top w:val="none" w:sz="0" w:space="0" w:color="auto"/>
                        <w:left w:val="none" w:sz="0" w:space="0" w:color="auto"/>
                        <w:bottom w:val="none" w:sz="0" w:space="0" w:color="auto"/>
                        <w:right w:val="none" w:sz="0" w:space="0" w:color="auto"/>
                      </w:divBdr>
                      <w:divsChild>
                        <w:div w:id="119954840">
                          <w:marLeft w:val="0"/>
                          <w:marRight w:val="0"/>
                          <w:marTop w:val="0"/>
                          <w:marBottom w:val="0"/>
                          <w:divBdr>
                            <w:top w:val="none" w:sz="0" w:space="0" w:color="auto"/>
                            <w:left w:val="none" w:sz="0" w:space="0" w:color="auto"/>
                            <w:bottom w:val="none" w:sz="0" w:space="0" w:color="auto"/>
                            <w:right w:val="none" w:sz="0" w:space="0" w:color="auto"/>
                          </w:divBdr>
                          <w:divsChild>
                            <w:div w:id="9624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230516">
      <w:bodyDiv w:val="1"/>
      <w:marLeft w:val="0"/>
      <w:marRight w:val="0"/>
      <w:marTop w:val="0"/>
      <w:marBottom w:val="0"/>
      <w:divBdr>
        <w:top w:val="none" w:sz="0" w:space="0" w:color="auto"/>
        <w:left w:val="none" w:sz="0" w:space="0" w:color="auto"/>
        <w:bottom w:val="none" w:sz="0" w:space="0" w:color="auto"/>
        <w:right w:val="none" w:sz="0" w:space="0" w:color="auto"/>
      </w:divBdr>
      <w:divsChild>
        <w:div w:id="969895462">
          <w:marLeft w:val="0"/>
          <w:marRight w:val="0"/>
          <w:marTop w:val="0"/>
          <w:marBottom w:val="0"/>
          <w:divBdr>
            <w:top w:val="none" w:sz="0" w:space="0" w:color="auto"/>
            <w:left w:val="none" w:sz="0" w:space="0" w:color="auto"/>
            <w:bottom w:val="none" w:sz="0" w:space="0" w:color="auto"/>
            <w:right w:val="none" w:sz="0" w:space="0" w:color="auto"/>
          </w:divBdr>
          <w:divsChild>
            <w:div w:id="1167552071">
              <w:marLeft w:val="0"/>
              <w:marRight w:val="0"/>
              <w:marTop w:val="0"/>
              <w:marBottom w:val="0"/>
              <w:divBdr>
                <w:top w:val="none" w:sz="0" w:space="0" w:color="auto"/>
                <w:left w:val="none" w:sz="0" w:space="0" w:color="auto"/>
                <w:bottom w:val="none" w:sz="0" w:space="0" w:color="auto"/>
                <w:right w:val="none" w:sz="0" w:space="0" w:color="auto"/>
              </w:divBdr>
              <w:divsChild>
                <w:div w:id="91171137">
                  <w:marLeft w:val="0"/>
                  <w:marRight w:val="0"/>
                  <w:marTop w:val="0"/>
                  <w:marBottom w:val="0"/>
                  <w:divBdr>
                    <w:top w:val="none" w:sz="0" w:space="0" w:color="auto"/>
                    <w:left w:val="none" w:sz="0" w:space="0" w:color="auto"/>
                    <w:bottom w:val="none" w:sz="0" w:space="0" w:color="auto"/>
                    <w:right w:val="none" w:sz="0" w:space="0" w:color="auto"/>
                  </w:divBdr>
                  <w:divsChild>
                    <w:div w:id="245766863">
                      <w:marLeft w:val="0"/>
                      <w:marRight w:val="0"/>
                      <w:marTop w:val="0"/>
                      <w:marBottom w:val="0"/>
                      <w:divBdr>
                        <w:top w:val="none" w:sz="0" w:space="0" w:color="auto"/>
                        <w:left w:val="none" w:sz="0" w:space="0" w:color="auto"/>
                        <w:bottom w:val="none" w:sz="0" w:space="0" w:color="auto"/>
                        <w:right w:val="none" w:sz="0" w:space="0" w:color="auto"/>
                      </w:divBdr>
                      <w:divsChild>
                        <w:div w:id="1852178732">
                          <w:marLeft w:val="0"/>
                          <w:marRight w:val="0"/>
                          <w:marTop w:val="0"/>
                          <w:marBottom w:val="0"/>
                          <w:divBdr>
                            <w:top w:val="none" w:sz="0" w:space="0" w:color="auto"/>
                            <w:left w:val="none" w:sz="0" w:space="0" w:color="auto"/>
                            <w:bottom w:val="none" w:sz="0" w:space="0" w:color="auto"/>
                            <w:right w:val="none" w:sz="0" w:space="0" w:color="auto"/>
                          </w:divBdr>
                          <w:divsChild>
                            <w:div w:id="2323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320328">
      <w:bodyDiv w:val="1"/>
      <w:marLeft w:val="0"/>
      <w:marRight w:val="0"/>
      <w:marTop w:val="0"/>
      <w:marBottom w:val="0"/>
      <w:divBdr>
        <w:top w:val="none" w:sz="0" w:space="0" w:color="auto"/>
        <w:left w:val="none" w:sz="0" w:space="0" w:color="auto"/>
        <w:bottom w:val="none" w:sz="0" w:space="0" w:color="auto"/>
        <w:right w:val="none" w:sz="0" w:space="0" w:color="auto"/>
      </w:divBdr>
    </w:div>
    <w:div w:id="1712681309">
      <w:bodyDiv w:val="1"/>
      <w:marLeft w:val="0"/>
      <w:marRight w:val="0"/>
      <w:marTop w:val="0"/>
      <w:marBottom w:val="0"/>
      <w:divBdr>
        <w:top w:val="none" w:sz="0" w:space="0" w:color="auto"/>
        <w:left w:val="none" w:sz="0" w:space="0" w:color="auto"/>
        <w:bottom w:val="none" w:sz="0" w:space="0" w:color="auto"/>
        <w:right w:val="none" w:sz="0" w:space="0" w:color="auto"/>
      </w:divBdr>
      <w:divsChild>
        <w:div w:id="1036735580">
          <w:marLeft w:val="0"/>
          <w:marRight w:val="0"/>
          <w:marTop w:val="0"/>
          <w:marBottom w:val="0"/>
          <w:divBdr>
            <w:top w:val="none" w:sz="0" w:space="0" w:color="auto"/>
            <w:left w:val="none" w:sz="0" w:space="0" w:color="auto"/>
            <w:bottom w:val="none" w:sz="0" w:space="0" w:color="auto"/>
            <w:right w:val="none" w:sz="0" w:space="0" w:color="auto"/>
          </w:divBdr>
          <w:divsChild>
            <w:div w:id="1791850299">
              <w:marLeft w:val="0"/>
              <w:marRight w:val="0"/>
              <w:marTop w:val="0"/>
              <w:marBottom w:val="0"/>
              <w:divBdr>
                <w:top w:val="none" w:sz="0" w:space="0" w:color="auto"/>
                <w:left w:val="none" w:sz="0" w:space="0" w:color="auto"/>
                <w:bottom w:val="none" w:sz="0" w:space="0" w:color="auto"/>
                <w:right w:val="none" w:sz="0" w:space="0" w:color="auto"/>
              </w:divBdr>
              <w:divsChild>
                <w:div w:id="204361">
                  <w:marLeft w:val="0"/>
                  <w:marRight w:val="0"/>
                  <w:marTop w:val="0"/>
                  <w:marBottom w:val="0"/>
                  <w:divBdr>
                    <w:top w:val="none" w:sz="0" w:space="0" w:color="auto"/>
                    <w:left w:val="none" w:sz="0" w:space="0" w:color="auto"/>
                    <w:bottom w:val="none" w:sz="0" w:space="0" w:color="auto"/>
                    <w:right w:val="none" w:sz="0" w:space="0" w:color="auto"/>
                  </w:divBdr>
                  <w:divsChild>
                    <w:div w:id="132217768">
                      <w:marLeft w:val="0"/>
                      <w:marRight w:val="0"/>
                      <w:marTop w:val="0"/>
                      <w:marBottom w:val="0"/>
                      <w:divBdr>
                        <w:top w:val="none" w:sz="0" w:space="0" w:color="auto"/>
                        <w:left w:val="none" w:sz="0" w:space="0" w:color="auto"/>
                        <w:bottom w:val="none" w:sz="0" w:space="0" w:color="auto"/>
                        <w:right w:val="none" w:sz="0" w:space="0" w:color="auto"/>
                      </w:divBdr>
                      <w:divsChild>
                        <w:div w:id="1260912944">
                          <w:marLeft w:val="0"/>
                          <w:marRight w:val="0"/>
                          <w:marTop w:val="0"/>
                          <w:marBottom w:val="0"/>
                          <w:divBdr>
                            <w:top w:val="none" w:sz="0" w:space="0" w:color="auto"/>
                            <w:left w:val="none" w:sz="0" w:space="0" w:color="auto"/>
                            <w:bottom w:val="none" w:sz="0" w:space="0" w:color="auto"/>
                            <w:right w:val="none" w:sz="0" w:space="0" w:color="auto"/>
                          </w:divBdr>
                          <w:divsChild>
                            <w:div w:id="16965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382999">
      <w:bodyDiv w:val="1"/>
      <w:marLeft w:val="0"/>
      <w:marRight w:val="0"/>
      <w:marTop w:val="0"/>
      <w:marBottom w:val="0"/>
      <w:divBdr>
        <w:top w:val="none" w:sz="0" w:space="0" w:color="auto"/>
        <w:left w:val="none" w:sz="0" w:space="0" w:color="auto"/>
        <w:bottom w:val="none" w:sz="0" w:space="0" w:color="auto"/>
        <w:right w:val="none" w:sz="0" w:space="0" w:color="auto"/>
      </w:divBdr>
      <w:divsChild>
        <w:div w:id="1338264063">
          <w:marLeft w:val="0"/>
          <w:marRight w:val="0"/>
          <w:marTop w:val="0"/>
          <w:marBottom w:val="0"/>
          <w:divBdr>
            <w:top w:val="none" w:sz="0" w:space="0" w:color="auto"/>
            <w:left w:val="none" w:sz="0" w:space="0" w:color="auto"/>
            <w:bottom w:val="none" w:sz="0" w:space="0" w:color="auto"/>
            <w:right w:val="none" w:sz="0" w:space="0" w:color="auto"/>
          </w:divBdr>
          <w:divsChild>
            <w:div w:id="1529024585">
              <w:marLeft w:val="0"/>
              <w:marRight w:val="0"/>
              <w:marTop w:val="0"/>
              <w:marBottom w:val="0"/>
              <w:divBdr>
                <w:top w:val="none" w:sz="0" w:space="0" w:color="auto"/>
                <w:left w:val="none" w:sz="0" w:space="0" w:color="auto"/>
                <w:bottom w:val="none" w:sz="0" w:space="0" w:color="auto"/>
                <w:right w:val="none" w:sz="0" w:space="0" w:color="auto"/>
              </w:divBdr>
              <w:divsChild>
                <w:div w:id="1618639206">
                  <w:marLeft w:val="0"/>
                  <w:marRight w:val="0"/>
                  <w:marTop w:val="0"/>
                  <w:marBottom w:val="0"/>
                  <w:divBdr>
                    <w:top w:val="none" w:sz="0" w:space="0" w:color="auto"/>
                    <w:left w:val="none" w:sz="0" w:space="0" w:color="auto"/>
                    <w:bottom w:val="none" w:sz="0" w:space="0" w:color="auto"/>
                    <w:right w:val="none" w:sz="0" w:space="0" w:color="auto"/>
                  </w:divBdr>
                  <w:divsChild>
                    <w:div w:id="335117019">
                      <w:marLeft w:val="0"/>
                      <w:marRight w:val="0"/>
                      <w:marTop w:val="0"/>
                      <w:marBottom w:val="0"/>
                      <w:divBdr>
                        <w:top w:val="none" w:sz="0" w:space="0" w:color="auto"/>
                        <w:left w:val="none" w:sz="0" w:space="0" w:color="auto"/>
                        <w:bottom w:val="none" w:sz="0" w:space="0" w:color="auto"/>
                        <w:right w:val="none" w:sz="0" w:space="0" w:color="auto"/>
                      </w:divBdr>
                      <w:divsChild>
                        <w:div w:id="1120496318">
                          <w:marLeft w:val="0"/>
                          <w:marRight w:val="0"/>
                          <w:marTop w:val="0"/>
                          <w:marBottom w:val="0"/>
                          <w:divBdr>
                            <w:top w:val="none" w:sz="0" w:space="0" w:color="auto"/>
                            <w:left w:val="none" w:sz="0" w:space="0" w:color="auto"/>
                            <w:bottom w:val="none" w:sz="0" w:space="0" w:color="auto"/>
                            <w:right w:val="none" w:sz="0" w:space="0" w:color="auto"/>
                          </w:divBdr>
                          <w:divsChild>
                            <w:div w:id="12396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406616">
      <w:bodyDiv w:val="1"/>
      <w:marLeft w:val="0"/>
      <w:marRight w:val="0"/>
      <w:marTop w:val="0"/>
      <w:marBottom w:val="0"/>
      <w:divBdr>
        <w:top w:val="none" w:sz="0" w:space="0" w:color="auto"/>
        <w:left w:val="none" w:sz="0" w:space="0" w:color="auto"/>
        <w:bottom w:val="none" w:sz="0" w:space="0" w:color="auto"/>
        <w:right w:val="none" w:sz="0" w:space="0" w:color="auto"/>
      </w:divBdr>
      <w:divsChild>
        <w:div w:id="578634419">
          <w:marLeft w:val="0"/>
          <w:marRight w:val="0"/>
          <w:marTop w:val="0"/>
          <w:marBottom w:val="0"/>
          <w:divBdr>
            <w:top w:val="none" w:sz="0" w:space="0" w:color="auto"/>
            <w:left w:val="none" w:sz="0" w:space="0" w:color="auto"/>
            <w:bottom w:val="none" w:sz="0" w:space="0" w:color="auto"/>
            <w:right w:val="none" w:sz="0" w:space="0" w:color="auto"/>
          </w:divBdr>
          <w:divsChild>
            <w:div w:id="1056390296">
              <w:marLeft w:val="0"/>
              <w:marRight w:val="0"/>
              <w:marTop w:val="0"/>
              <w:marBottom w:val="0"/>
              <w:divBdr>
                <w:top w:val="none" w:sz="0" w:space="0" w:color="auto"/>
                <w:left w:val="none" w:sz="0" w:space="0" w:color="auto"/>
                <w:bottom w:val="none" w:sz="0" w:space="0" w:color="auto"/>
                <w:right w:val="none" w:sz="0" w:space="0" w:color="auto"/>
              </w:divBdr>
              <w:divsChild>
                <w:div w:id="704059068">
                  <w:marLeft w:val="0"/>
                  <w:marRight w:val="0"/>
                  <w:marTop w:val="0"/>
                  <w:marBottom w:val="0"/>
                  <w:divBdr>
                    <w:top w:val="none" w:sz="0" w:space="0" w:color="auto"/>
                    <w:left w:val="none" w:sz="0" w:space="0" w:color="auto"/>
                    <w:bottom w:val="none" w:sz="0" w:space="0" w:color="auto"/>
                    <w:right w:val="none" w:sz="0" w:space="0" w:color="auto"/>
                  </w:divBdr>
                  <w:divsChild>
                    <w:div w:id="770704602">
                      <w:marLeft w:val="0"/>
                      <w:marRight w:val="0"/>
                      <w:marTop w:val="0"/>
                      <w:marBottom w:val="0"/>
                      <w:divBdr>
                        <w:top w:val="none" w:sz="0" w:space="0" w:color="auto"/>
                        <w:left w:val="none" w:sz="0" w:space="0" w:color="auto"/>
                        <w:bottom w:val="none" w:sz="0" w:space="0" w:color="auto"/>
                        <w:right w:val="none" w:sz="0" w:space="0" w:color="auto"/>
                      </w:divBdr>
                      <w:divsChild>
                        <w:div w:id="1141731167">
                          <w:marLeft w:val="0"/>
                          <w:marRight w:val="0"/>
                          <w:marTop w:val="0"/>
                          <w:marBottom w:val="0"/>
                          <w:divBdr>
                            <w:top w:val="none" w:sz="0" w:space="0" w:color="auto"/>
                            <w:left w:val="none" w:sz="0" w:space="0" w:color="auto"/>
                            <w:bottom w:val="none" w:sz="0" w:space="0" w:color="auto"/>
                            <w:right w:val="none" w:sz="0" w:space="0" w:color="auto"/>
                          </w:divBdr>
                          <w:divsChild>
                            <w:div w:id="7707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5EB3D-0475-4C47-A511-D7826FB5D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04D443-E020-4E6D-B11D-B63E61E1DB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6D7A77-1C8C-4AD8-95AE-4307BFBB186B}">
  <ds:schemaRefs>
    <ds:schemaRef ds:uri="http://schemas.microsoft.com/sharepoint/v3/contenttype/forms"/>
  </ds:schemaRefs>
</ds:datastoreItem>
</file>

<file path=customXml/itemProps4.xml><?xml version="1.0" encoding="utf-8"?>
<ds:datastoreItem xmlns:ds="http://schemas.openxmlformats.org/officeDocument/2006/customXml" ds:itemID="{5A31EBB3-644C-534F-BD0B-F8C662B8D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19320</Words>
  <Characters>106262</Characters>
  <Application>Microsoft Macintosh Word</Application>
  <DocSecurity>0</DocSecurity>
  <Lines>885</Lines>
  <Paragraphs>250</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125332</CharactersWithSpaces>
  <SharedDoc>false</SharedDoc>
  <HLinks>
    <vt:vector size="6" baseType="variant">
      <vt:variant>
        <vt:i4>4587613</vt:i4>
      </vt:variant>
      <vt:variant>
        <vt:i4>0</vt:i4>
      </vt:variant>
      <vt:variant>
        <vt:i4>0</vt:i4>
      </vt:variant>
      <vt:variant>
        <vt:i4>5</vt:i4>
      </vt:variant>
      <vt:variant>
        <vt:lpwstr>http://insite.dhcour.coe.int/link/tikitlink.asp?doc=2309499&amp;lib=court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keywords/>
  <cp:lastModifiedBy/>
  <cp:revision>1</cp:revision>
  <cp:lastPrinted>2007-12-06T15:16:00Z</cp:lastPrinted>
  <dcterms:created xsi:type="dcterms:W3CDTF">2015-05-22T08:25:00Z</dcterms:created>
  <dcterms:modified xsi:type="dcterms:W3CDTF">2015-05-22T08:25:00Z</dcterms:modified>
  <cp:category>ECHR Template</cp:category>
</cp:coreProperties>
</file>